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B5D3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Chars="0" w:right="0" w:firstLine="0" w:firstLineChars="0"/>
        <w:jc w:val="center"/>
        <w:textAlignment w:val="auto"/>
        <w:rPr>
          <w:rFonts w:hint="eastAsia" w:ascii="方正小标宋简体" w:hAnsi="方正小标宋简体" w:eastAsia="方正小标宋简体" w:cs="方正小标宋简体"/>
          <w:b w:val="0"/>
          <w:bCs/>
          <w:kern w:val="0"/>
          <w:sz w:val="44"/>
          <w:szCs w:val="44"/>
          <w:lang w:eastAsia="zh-CN"/>
        </w:rPr>
      </w:pPr>
      <w:r>
        <w:rPr>
          <w:rFonts w:hint="eastAsia" w:ascii="方正小标宋简体" w:hAnsi="方正小标宋简体" w:eastAsia="方正小标宋简体" w:cs="方正小标宋简体"/>
          <w:b w:val="0"/>
          <w:bCs/>
          <w:kern w:val="0"/>
          <w:sz w:val="44"/>
          <w:szCs w:val="44"/>
          <w:lang w:eastAsia="zh-CN"/>
        </w:rPr>
        <w:t>广东省档案异地异质联合备份中心展览设计布展服务项目采购公告</w:t>
      </w:r>
    </w:p>
    <w:p w14:paraId="19E660C5">
      <w:pPr>
        <w:keepNext w:val="0"/>
        <w:keepLines w:val="0"/>
        <w:pageBreakBefore w:val="0"/>
        <w:widowControl w:val="0"/>
        <w:kinsoku/>
        <w:wordWrap/>
        <w:overflowPunct/>
        <w:topLinePunct w:val="0"/>
        <w:autoSpaceDE/>
        <w:autoSpaceDN/>
        <w:bidi w:val="0"/>
        <w:adjustRightInd/>
        <w:snapToGrid/>
        <w:spacing w:line="240" w:lineRule="auto"/>
        <w:ind w:left="0"/>
        <w:jc w:val="left"/>
        <w:textAlignment w:val="center"/>
        <w:rPr>
          <w:rFonts w:hint="eastAsia" w:ascii="仿宋_GB2312" w:hAnsi="仿宋_GB2312" w:eastAsia="仿宋_GB2312" w:cs="仿宋_GB2312"/>
          <w:sz w:val="32"/>
          <w:szCs w:val="32"/>
        </w:rPr>
      </w:pPr>
    </w:p>
    <w:p w14:paraId="3D93EF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kern w:val="2"/>
          <w:sz w:val="32"/>
          <w:szCs w:val="32"/>
          <w:lang w:val="en-US" w:eastAsia="zh-CN" w:bidi="ar-SA"/>
        </w:rPr>
        <w:t>根据我馆工作计划安排，广东省档案馆（采购人）拟开展广东省档案异地异质联合备份中心专题展设计布展服务采购工作，现邀请具备相关资质的供应商进行报价，有关情况公告如下：</w:t>
      </w:r>
    </w:p>
    <w:p w14:paraId="0FD7E2E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r>
        <w:rPr>
          <w:rFonts w:hint="eastAsia" w:ascii="方正楷体_GB2312" w:hAnsi="方正楷体_GB2312" w:eastAsia="方正楷体_GB2312" w:cs="方正楷体_GB2312"/>
          <w:b w:val="0"/>
          <w:bCs/>
          <w:sz w:val="32"/>
          <w:szCs w:val="32"/>
          <w:lang w:val="en-US" w:eastAsia="zh-CN"/>
        </w:rPr>
        <w:t>一、项目名称、地点、采购方式及限价</w:t>
      </w:r>
    </w:p>
    <w:p w14:paraId="53324D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Chars="0" w:right="0" w:rightChars="0" w:firstLine="643" w:firstLineChars="200"/>
        <w:jc w:val="both"/>
        <w:textAlignment w:val="auto"/>
        <w:rPr>
          <w:rFonts w:hint="default" w:ascii="仿宋_GB2312" w:hAnsi="仿宋_GB2312" w:eastAsia="仿宋_GB2312" w:cs="仿宋_GB2312"/>
          <w:kern w:val="2"/>
          <w:sz w:val="32"/>
          <w:szCs w:val="32"/>
          <w:lang w:val="en-US" w:eastAsia="zh-CN" w:bidi="ar-SA"/>
        </w:rPr>
      </w:pPr>
      <w:r>
        <w:rPr>
          <w:rStyle w:val="5"/>
          <w:rFonts w:hint="eastAsia" w:ascii="仿宋_GB2312" w:hAnsi="仿宋_GB2312" w:eastAsia="仿宋_GB2312" w:cs="仿宋_GB2312"/>
          <w:sz w:val="32"/>
          <w:szCs w:val="32"/>
          <w:lang w:val="en-US" w:eastAsia="zh-CN"/>
        </w:rPr>
        <w:t>（一）项目</w:t>
      </w:r>
      <w:r>
        <w:rPr>
          <w:rStyle w:val="5"/>
          <w:rFonts w:hint="eastAsia" w:ascii="仿宋_GB2312" w:hAnsi="仿宋_GB2312" w:eastAsia="仿宋_GB2312" w:cs="仿宋_GB2312"/>
          <w:sz w:val="32"/>
          <w:szCs w:val="32"/>
        </w:rPr>
        <w:t>名称</w:t>
      </w:r>
      <w:r>
        <w:rPr>
          <w:rFonts w:hint="eastAsia" w:ascii="仿宋_GB2312" w:hAnsi="仿宋_GB2312" w:eastAsia="仿宋_GB2312" w:cs="仿宋_GB2312"/>
          <w:sz w:val="32"/>
          <w:szCs w:val="32"/>
        </w:rPr>
        <w:t>：</w:t>
      </w:r>
      <w:r>
        <w:rPr>
          <w:rFonts w:hint="eastAsia" w:ascii="仿宋_GB2312" w:hAnsi="仿宋_GB2312" w:eastAsia="仿宋_GB2312" w:cs="仿宋_GB2312"/>
          <w:kern w:val="2"/>
          <w:sz w:val="32"/>
          <w:szCs w:val="32"/>
          <w:lang w:val="en-US" w:eastAsia="zh-CN" w:bidi="ar-SA"/>
        </w:rPr>
        <w:t>筑牢档案安全防线 构建多元备份体系——广东省档案异地异质联合备份中心专题展（暂名）设计布展服务项目</w:t>
      </w:r>
    </w:p>
    <w:p w14:paraId="45EBC33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sz w:val="32"/>
          <w:szCs w:val="32"/>
          <w:lang w:val="en-US" w:eastAsia="zh-CN"/>
        </w:rPr>
        <w:t>（二）项目地点：</w:t>
      </w:r>
      <w:r>
        <w:rPr>
          <w:rFonts w:hint="eastAsia" w:ascii="仿宋_GB2312" w:hAnsi="仿宋_GB2312" w:eastAsia="仿宋_GB2312" w:cs="仿宋_GB2312"/>
          <w:b/>
          <w:bCs/>
          <w:kern w:val="2"/>
          <w:sz w:val="32"/>
          <w:szCs w:val="32"/>
          <w:lang w:val="en-US" w:eastAsia="zh-CN" w:bidi="ar-SA"/>
        </w:rPr>
        <w:t>广东韶关</w:t>
      </w:r>
      <w:r>
        <w:rPr>
          <w:rFonts w:hint="eastAsia" w:ascii="仿宋_GB2312" w:hAnsi="仿宋_GB2312" w:eastAsia="仿宋_GB2312" w:cs="仿宋_GB2312"/>
          <w:kern w:val="2"/>
          <w:sz w:val="32"/>
          <w:szCs w:val="32"/>
          <w:lang w:val="en-US" w:eastAsia="zh-CN" w:bidi="ar-SA"/>
        </w:rPr>
        <w:t>，广东省档案异地异质联合备份中心。展厅为L型室内展厅，建筑面积约168㎡。</w:t>
      </w:r>
    </w:p>
    <w:p w14:paraId="636D6AC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sz w:val="32"/>
          <w:szCs w:val="32"/>
          <w:lang w:val="en-US" w:eastAsia="zh-CN"/>
        </w:rPr>
        <w:t>（三）采购方式：</w:t>
      </w:r>
      <w:r>
        <w:rPr>
          <w:rFonts w:hint="eastAsia" w:ascii="仿宋_GB2312" w:hAnsi="仿宋_GB2312" w:eastAsia="仿宋_GB2312" w:cs="仿宋_GB2312"/>
          <w:kern w:val="2"/>
          <w:sz w:val="32"/>
          <w:szCs w:val="32"/>
          <w:lang w:val="en-US" w:eastAsia="zh-CN" w:bidi="ar-SA"/>
        </w:rPr>
        <w:t>采用</w:t>
      </w:r>
      <w:r>
        <w:rPr>
          <w:rFonts w:hint="eastAsia" w:ascii="仿宋_GB2312" w:hAnsi="仿宋_GB2312" w:eastAsia="仿宋_GB2312" w:cs="仿宋_GB2312"/>
          <w:b/>
          <w:bCs/>
          <w:kern w:val="2"/>
          <w:sz w:val="32"/>
          <w:szCs w:val="32"/>
          <w:lang w:val="en-US" w:eastAsia="zh-CN" w:bidi="ar-SA"/>
        </w:rPr>
        <w:t>自行采购</w:t>
      </w:r>
      <w:r>
        <w:rPr>
          <w:rFonts w:hint="eastAsia" w:ascii="仿宋_GB2312" w:hAnsi="仿宋_GB2312" w:eastAsia="仿宋_GB2312" w:cs="仿宋_GB2312"/>
          <w:kern w:val="2"/>
          <w:sz w:val="32"/>
          <w:szCs w:val="32"/>
          <w:lang w:val="en-US" w:eastAsia="zh-CN" w:bidi="ar-SA"/>
        </w:rPr>
        <w:t>方式</w:t>
      </w:r>
    </w:p>
    <w:p w14:paraId="51EBDA8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（四）</w:t>
      </w:r>
      <w:r>
        <w:rPr>
          <w:rFonts w:hint="eastAsia" w:ascii="仿宋_GB2312" w:hAnsi="仿宋_GB2312" w:eastAsia="仿宋_GB2312" w:cs="仿宋_GB2312"/>
          <w:b/>
          <w:sz w:val="32"/>
          <w:szCs w:val="32"/>
        </w:rPr>
        <w:t>采购最高限价</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kern w:val="2"/>
          <w:sz w:val="32"/>
          <w:szCs w:val="32"/>
          <w:lang w:val="en-US" w:eastAsia="zh-CN" w:bidi="ar-SA"/>
        </w:rPr>
        <w:t>本次采购最高限价为</w:t>
      </w:r>
      <w:r>
        <w:rPr>
          <w:rFonts w:hint="eastAsia" w:ascii="仿宋_GB2312" w:hAnsi="仿宋_GB2312" w:eastAsia="仿宋_GB2312" w:cs="仿宋_GB2312"/>
          <w:b/>
          <w:bCs/>
          <w:kern w:val="2"/>
          <w:sz w:val="32"/>
          <w:szCs w:val="32"/>
          <w:lang w:val="en-US" w:eastAsia="zh-CN" w:bidi="ar-SA"/>
        </w:rPr>
        <w:t>人民币20万元（含6%增值税）</w:t>
      </w:r>
      <w:r>
        <w:rPr>
          <w:rFonts w:hint="eastAsia" w:ascii="仿宋_GB2312" w:hAnsi="仿宋_GB2312" w:eastAsia="仿宋_GB2312" w:cs="仿宋_GB2312"/>
          <w:kern w:val="2"/>
          <w:sz w:val="32"/>
          <w:szCs w:val="32"/>
          <w:lang w:val="en-US" w:eastAsia="zh-CN" w:bidi="ar-SA"/>
        </w:rPr>
        <w:t>，本项目总价包干，包含深化设计、布展施工、展品制作、视频沙盘、运输安装、培训、质保、保密、税费等全部费用，采购人不再支付额外费用。</w:t>
      </w:r>
    </w:p>
    <w:p w14:paraId="386DBD6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0" w:name="heading_0"/>
      <w:r>
        <w:rPr>
          <w:rFonts w:hint="eastAsia" w:ascii="方正楷体_GB2312" w:hAnsi="方正楷体_GB2312" w:eastAsia="方正楷体_GB2312" w:cs="方正楷体_GB2312"/>
          <w:b w:val="0"/>
          <w:bCs/>
          <w:sz w:val="32"/>
          <w:szCs w:val="32"/>
          <w:lang w:val="en-US" w:eastAsia="zh-CN"/>
        </w:rPr>
        <w:t>二、采购内容</w:t>
      </w:r>
      <w:bookmarkEnd w:id="0"/>
    </w:p>
    <w:p w14:paraId="5B623ACA">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展览依托备份中心立项勘察、工程建设、运维管理、档案移交等一手档案史料，系统展示备份中心建设历程与广东档案异地异质备份工作示范价值，打造档案备份安全科普教育阵地。展览设置序厅、战略溯源、精工筑基、智慧运维、致远领航、档案移交照片墙、结语互动区等7个板块。</w:t>
      </w:r>
    </w:p>
    <w:p w14:paraId="0A0A2BDD">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主要工作包含展览深化设计、布展施工实施、3部1‑3分钟主题宣传片制作、沙盘设计制作安装、现场调试、人员培训、质保运维，交付全套设计源文件与项目文档。严格落实档案原件不裸展，采用轻量化多媒体，配置3台固定大屏播放设备，布展材料全部使用环保阻燃材料。</w:t>
      </w:r>
    </w:p>
    <w:p w14:paraId="3AEDC6F7">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1" w:name="heading_2"/>
      <w:r>
        <w:rPr>
          <w:rFonts w:hint="eastAsia" w:ascii="方正楷体_GB2312" w:hAnsi="方正楷体_GB2312" w:eastAsia="方正楷体_GB2312" w:cs="方正楷体_GB2312"/>
          <w:b w:val="0"/>
          <w:bCs/>
          <w:sz w:val="32"/>
          <w:szCs w:val="32"/>
          <w:lang w:val="en-US" w:eastAsia="zh-CN"/>
        </w:rPr>
        <w:t>三、供应商资格</w:t>
      </w:r>
      <w:bookmarkEnd w:id="1"/>
    </w:p>
    <w:p w14:paraId="02B1CC57">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（一）具备展览设计布展相关实施经验和能力。</w:t>
      </w:r>
    </w:p>
    <w:p w14:paraId="517A069E">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符合《中华人民共和国政府采购法》规定：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法律、行政法规规定的其他条件。</w:t>
      </w:r>
    </w:p>
    <w:p w14:paraId="7E91B6D7">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（三）供应商未被列入失信被执行人、重大税收违法失信主体、政府采购严重违法失信行为记录名单。</w:t>
      </w:r>
    </w:p>
    <w:p w14:paraId="4BB3AE99">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（四）需提供公司营业执照复印件并盖章。</w:t>
      </w:r>
    </w:p>
    <w:p w14:paraId="11BB531A">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（五）需提供项目设计制作方案【设计图纸（含包括平面布置图、走线图、三维空间效果图、展项工艺说明图等）、空间设计、展示技术与展示手段、展示内容、材质运用、色彩应用、报价清单等】。</w:t>
      </w:r>
    </w:p>
    <w:p w14:paraId="0101794F">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2" w:name="heading_3"/>
      <w:r>
        <w:rPr>
          <w:rFonts w:hint="eastAsia" w:ascii="方正楷体_GB2312" w:hAnsi="方正楷体_GB2312" w:eastAsia="方正楷体_GB2312" w:cs="方正楷体_GB2312"/>
          <w:b w:val="0"/>
          <w:bCs/>
          <w:sz w:val="32"/>
          <w:szCs w:val="32"/>
          <w:lang w:val="en-US" w:eastAsia="zh-CN"/>
        </w:rPr>
        <w:t>四、技术要求</w:t>
      </w:r>
      <w:bookmarkEnd w:id="2"/>
    </w:p>
    <w:p w14:paraId="347A3ABF">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（一）项目执行DA/T 102‑2024《档案展览工作规范》，遵守消防、室内装饰、纸质档案保护相关标准，以档案仿真件、历史照片、工程图纸、实物标本为主要展陈载体。</w:t>
      </w:r>
    </w:p>
    <w:p w14:paraId="72A82F55">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落实意识形态工作责任制，严格执行三审三校、档案开放内容审核、图纸会审；展陈史实、图文素材均以采购人提供脚本、馆藏原件为准，供应商不得自行演绎新增史实。档案仿真件陈列灯光照度≤50lx，满足纸质档案保护规范。</w:t>
      </w:r>
    </w:p>
    <w:p w14:paraId="62D49EE9">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（三）供应商须提交完整项目实施方案，包含实施步骤、人员配置、展陈设计、施工组织、质量管控、安全文明施工、风险应对方案，项目全过程留痕可追溯。</w:t>
      </w:r>
    </w:p>
    <w:p w14:paraId="0019C725">
      <w:pPr>
        <w:bidi w:val="0"/>
        <w:spacing w:line="240" w:lineRule="auto"/>
        <w:jc w:val="both"/>
        <w:rPr>
          <w:rFonts w:hint="eastAsia" w:ascii="仿宋_GB2312" w:hAnsi="仿宋_GB2312" w:eastAsia="仿宋_GB2312" w:cs="仿宋_GB2312"/>
          <w:sz w:val="32"/>
          <w:szCs w:val="32"/>
        </w:rPr>
      </w:pPr>
      <w:r>
        <w:rPr>
          <w:rFonts w:hint="eastAsia" w:ascii="仿宋_GB2312" w:hAnsi="仿宋_GB2312" w:eastAsia="仿宋_GB2312" w:cs="仿宋_GB2312"/>
          <w:color w:val="auto"/>
          <w:kern w:val="0"/>
          <w:sz w:val="32"/>
          <w:szCs w:val="32"/>
          <w:lang w:val="en-US" w:eastAsia="zh-CN" w:bidi="ar"/>
        </w:rPr>
        <w:t>（四）项目团队指定专职项目负责人统筹实施；优先配备具备档案业务经验或档案系列职称人员，人员熟悉档案展览布展业务，沟通协作能力良好。</w:t>
      </w:r>
    </w:p>
    <w:p w14:paraId="2FB82B1B">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3" w:name="heading_4"/>
      <w:r>
        <w:rPr>
          <w:rFonts w:hint="eastAsia" w:ascii="方正楷体_GB2312" w:hAnsi="方正楷体_GB2312" w:eastAsia="方正楷体_GB2312" w:cs="方正楷体_GB2312"/>
          <w:b w:val="0"/>
          <w:bCs/>
          <w:sz w:val="32"/>
          <w:szCs w:val="32"/>
          <w:lang w:val="en-US" w:eastAsia="zh-CN"/>
        </w:rPr>
        <w:t>五、管理及保密要求</w:t>
      </w:r>
      <w:bookmarkEnd w:id="3"/>
    </w:p>
    <w:p w14:paraId="3B67024C">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（一）成交供应商及派驻实施人员须严格遵守馆方保密管理规定，对馆藏档案、展览脚本、未公开素材、业务信息严格保密。成交供应商须与全部派驻人员签订保密责任书，副本提交采购人备案。</w:t>
      </w:r>
    </w:p>
    <w:p w14:paraId="27522FFF">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（二）未经采购人书面许可，不得对外泄露项目脚本、档案素材、方案细节，不得将档案素材用于本项目以外的宣传或其他项目。</w:t>
      </w:r>
    </w:p>
    <w:p w14:paraId="707DED53">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（三）项目实施期间，未经采购人书面许可，不得擅自修改、损毁、转移采购人档案资料。项目结束后，全部原始资料返还采购人，供应商不得留存任何原件、副本、截图、复制品。</w:t>
      </w:r>
    </w:p>
    <w:p w14:paraId="6E328A41">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（四）采购人提供的档案素材仅限本展览项目使用。</w:t>
      </w:r>
    </w:p>
    <w:p w14:paraId="51157CB6">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4" w:name="heading_5"/>
      <w:r>
        <w:rPr>
          <w:rFonts w:hint="eastAsia" w:ascii="方正楷体_GB2312" w:hAnsi="方正楷体_GB2312" w:eastAsia="方正楷体_GB2312" w:cs="方正楷体_GB2312"/>
          <w:b w:val="0"/>
          <w:bCs/>
          <w:sz w:val="32"/>
          <w:szCs w:val="32"/>
          <w:lang w:val="en-US" w:eastAsia="zh-CN"/>
        </w:rPr>
        <w:t>六、验收要求</w:t>
      </w:r>
      <w:bookmarkEnd w:id="4"/>
    </w:p>
    <w:p w14:paraId="38CB6481">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验收方式：采取现场验收，采购人开展实体质量、内容史实、灯光、多媒体沙盘、安全消防、文档资料核查；档案史实准确性、档案展品安全防护为核心验收项，验收依据为本采购公告、项目脚本、合同。</w:t>
      </w:r>
    </w:p>
    <w:p w14:paraId="1050098A">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主要验收指标：</w:t>
      </w:r>
    </w:p>
    <w:tbl>
      <w:tblPr>
        <w:tblStyle w:val="3"/>
        <w:tblpPr w:leftFromText="180" w:rightFromText="180" w:vertAnchor="text" w:horzAnchor="page" w:tblpX="1792"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20"/>
        <w:gridCol w:w="2012"/>
        <w:gridCol w:w="4933"/>
      </w:tblGrid>
      <w:tr w14:paraId="16E3B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shd w:val="clear" w:color="auto" w:fill="D7D7D7" w:themeFill="background1" w:themeFillShade="D8"/>
            <w:tcMar>
              <w:top w:w="60" w:type="dxa"/>
              <w:left w:w="120" w:type="dxa"/>
              <w:bottom w:w="30" w:type="dxa"/>
              <w:right w:w="120" w:type="dxa"/>
            </w:tcMar>
          </w:tcPr>
          <w:p w14:paraId="4D8E45A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2012" w:type="dxa"/>
            <w:shd w:val="clear" w:color="auto" w:fill="D7D7D7" w:themeFill="background1" w:themeFillShade="D8"/>
            <w:tcMar>
              <w:top w:w="60" w:type="dxa"/>
              <w:left w:w="120" w:type="dxa"/>
              <w:bottom w:w="30" w:type="dxa"/>
              <w:right w:w="120" w:type="dxa"/>
            </w:tcMar>
          </w:tcPr>
          <w:p w14:paraId="25B89EC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验收项</w:t>
            </w:r>
          </w:p>
        </w:tc>
        <w:tc>
          <w:tcPr>
            <w:tcW w:w="4933" w:type="dxa"/>
            <w:shd w:val="clear" w:color="auto" w:fill="D7D7D7" w:themeFill="background1" w:themeFillShade="D8"/>
            <w:tcMar>
              <w:top w:w="60" w:type="dxa"/>
              <w:left w:w="120" w:type="dxa"/>
              <w:bottom w:w="30" w:type="dxa"/>
              <w:right w:w="120" w:type="dxa"/>
            </w:tcMar>
          </w:tcPr>
          <w:p w14:paraId="3342DA4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验收合格标准</w:t>
            </w:r>
          </w:p>
        </w:tc>
      </w:tr>
      <w:tr w14:paraId="3E6D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tcMar>
              <w:top w:w="60" w:type="dxa"/>
              <w:left w:w="120" w:type="dxa"/>
              <w:bottom w:w="30" w:type="dxa"/>
              <w:right w:w="120" w:type="dxa"/>
            </w:tcMar>
            <w:vAlign w:val="center"/>
          </w:tcPr>
          <w:p w14:paraId="19AA7BE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012" w:type="dxa"/>
            <w:tcMar>
              <w:top w:w="60" w:type="dxa"/>
              <w:left w:w="120" w:type="dxa"/>
              <w:bottom w:w="30" w:type="dxa"/>
              <w:right w:w="120" w:type="dxa"/>
            </w:tcMar>
            <w:vAlign w:val="center"/>
          </w:tcPr>
          <w:p w14:paraId="76CAC91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工期交付</w:t>
            </w:r>
          </w:p>
        </w:tc>
        <w:tc>
          <w:tcPr>
            <w:tcW w:w="4933" w:type="dxa"/>
            <w:tcMar>
              <w:top w:w="60" w:type="dxa"/>
              <w:left w:w="120" w:type="dxa"/>
              <w:bottom w:w="30" w:type="dxa"/>
              <w:right w:w="120" w:type="dxa"/>
            </w:tcMar>
          </w:tcPr>
          <w:p w14:paraId="2737DE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2026</w:t>
            </w:r>
            <w:r>
              <w:rPr>
                <w:rFonts w:hint="eastAsia" w:ascii="仿宋_GB2312" w:hAnsi="仿宋_GB2312" w:eastAsia="仿宋_GB2312" w:cs="仿宋_GB2312"/>
                <w:sz w:val="24"/>
                <w:szCs w:val="24"/>
                <w:lang w:val="en-US" w:eastAsia="zh-CN"/>
              </w:rPr>
              <w:t>年</w:t>
            </w:r>
            <w:r>
              <w:rPr>
                <w:rFonts w:hint="eastAsia" w:ascii="仿宋_GB2312" w:hAnsi="仿宋_GB2312" w:eastAsia="仿宋_GB2312" w:cs="仿宋_GB2312"/>
                <w:sz w:val="24"/>
                <w:szCs w:val="24"/>
              </w:rPr>
              <w:t>11</w:t>
            </w:r>
            <w:r>
              <w:rPr>
                <w:rFonts w:hint="eastAsia" w:ascii="仿宋_GB2312" w:hAnsi="仿宋_GB2312" w:eastAsia="仿宋_GB2312" w:cs="仿宋_GB2312"/>
                <w:sz w:val="24"/>
                <w:szCs w:val="24"/>
                <w:lang w:val="en-US" w:eastAsia="zh-CN"/>
              </w:rPr>
              <w:t>月</w:t>
            </w:r>
            <w:r>
              <w:rPr>
                <w:rFonts w:hint="eastAsia" w:ascii="仿宋_GB2312" w:hAnsi="仿宋_GB2312" w:eastAsia="仿宋_GB2312" w:cs="仿宋_GB2312"/>
                <w:sz w:val="24"/>
                <w:szCs w:val="24"/>
              </w:rPr>
              <w:t>30</w:t>
            </w:r>
            <w:r>
              <w:rPr>
                <w:rFonts w:hint="eastAsia" w:ascii="仿宋_GB2312" w:hAnsi="仿宋_GB2312" w:eastAsia="仿宋_GB2312" w:cs="仿宋_GB2312"/>
                <w:sz w:val="24"/>
                <w:szCs w:val="24"/>
                <w:lang w:val="en-US" w:eastAsia="zh-CN"/>
              </w:rPr>
              <w:t>日</w:t>
            </w:r>
            <w:r>
              <w:rPr>
                <w:rFonts w:hint="eastAsia" w:ascii="仿宋_GB2312" w:hAnsi="仿宋_GB2312" w:eastAsia="仿宋_GB2312" w:cs="仿宋_GB2312"/>
                <w:sz w:val="24"/>
                <w:szCs w:val="24"/>
              </w:rPr>
              <w:t>前完成全部深化设计、布展安装调试，展厅具备对外开放条件，沙盘、宣传片、播放大屏全部正常运行。</w:t>
            </w:r>
          </w:p>
        </w:tc>
      </w:tr>
      <w:tr w14:paraId="43E0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tcMar>
              <w:top w:w="60" w:type="dxa"/>
              <w:left w:w="120" w:type="dxa"/>
              <w:bottom w:w="30" w:type="dxa"/>
              <w:right w:w="120" w:type="dxa"/>
            </w:tcMar>
            <w:vAlign w:val="center"/>
          </w:tcPr>
          <w:p w14:paraId="7A2DC7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2012" w:type="dxa"/>
            <w:tcMar>
              <w:top w:w="60" w:type="dxa"/>
              <w:left w:w="120" w:type="dxa"/>
              <w:bottom w:w="30" w:type="dxa"/>
              <w:right w:w="120" w:type="dxa"/>
            </w:tcMar>
            <w:vAlign w:val="center"/>
          </w:tcPr>
          <w:p w14:paraId="751B48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展览实体布展</w:t>
            </w:r>
          </w:p>
        </w:tc>
        <w:tc>
          <w:tcPr>
            <w:tcW w:w="4933" w:type="dxa"/>
            <w:tcMar>
              <w:top w:w="60" w:type="dxa"/>
              <w:left w:w="120" w:type="dxa"/>
              <w:bottom w:w="30" w:type="dxa"/>
              <w:right w:w="120" w:type="dxa"/>
            </w:tcMar>
          </w:tcPr>
          <w:p w14:paraId="6FE56D1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168㎡L型展厅完整落地全部展区，参观动线合理；档案仿真件、实物标本陈列到位；布展材料环保阻燃，灯光照度符合纸质档案保护标准。</w:t>
            </w:r>
          </w:p>
        </w:tc>
      </w:tr>
      <w:tr w14:paraId="3209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tcMar>
              <w:top w:w="60" w:type="dxa"/>
              <w:left w:w="120" w:type="dxa"/>
              <w:bottom w:w="30" w:type="dxa"/>
              <w:right w:w="120" w:type="dxa"/>
            </w:tcMar>
            <w:vAlign w:val="center"/>
          </w:tcPr>
          <w:p w14:paraId="657F78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2012" w:type="dxa"/>
            <w:tcMar>
              <w:top w:w="60" w:type="dxa"/>
              <w:left w:w="120" w:type="dxa"/>
              <w:bottom w:w="30" w:type="dxa"/>
              <w:right w:w="120" w:type="dxa"/>
            </w:tcMar>
            <w:vAlign w:val="center"/>
          </w:tcPr>
          <w:p w14:paraId="73B193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展览内容质量</w:t>
            </w:r>
          </w:p>
        </w:tc>
        <w:tc>
          <w:tcPr>
            <w:tcW w:w="4933" w:type="dxa"/>
            <w:tcMar>
              <w:top w:w="60" w:type="dxa"/>
              <w:left w:w="120" w:type="dxa"/>
              <w:bottom w:w="30" w:type="dxa"/>
              <w:right w:w="120" w:type="dxa"/>
            </w:tcMar>
          </w:tcPr>
          <w:p w14:paraId="4F1503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严格按照采购人脚本实施，史实严谨，落实三审三校、档案开放审核，档案原件不裸展。</w:t>
            </w:r>
          </w:p>
        </w:tc>
      </w:tr>
      <w:tr w14:paraId="3442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tcMar>
              <w:top w:w="60" w:type="dxa"/>
              <w:left w:w="120" w:type="dxa"/>
              <w:bottom w:w="30" w:type="dxa"/>
              <w:right w:w="120" w:type="dxa"/>
            </w:tcMar>
            <w:vAlign w:val="center"/>
          </w:tcPr>
          <w:p w14:paraId="1AC96CA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2012" w:type="dxa"/>
            <w:tcMar>
              <w:top w:w="60" w:type="dxa"/>
              <w:left w:w="120" w:type="dxa"/>
              <w:bottom w:w="30" w:type="dxa"/>
              <w:right w:w="120" w:type="dxa"/>
            </w:tcMar>
            <w:vAlign w:val="center"/>
          </w:tcPr>
          <w:p w14:paraId="441C18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多媒体</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沙盘</w:t>
            </w:r>
          </w:p>
        </w:tc>
        <w:tc>
          <w:tcPr>
            <w:tcW w:w="4933" w:type="dxa"/>
            <w:tcMar>
              <w:top w:w="60" w:type="dxa"/>
              <w:left w:w="120" w:type="dxa"/>
              <w:bottom w:w="30" w:type="dxa"/>
              <w:right w:w="120" w:type="dxa"/>
            </w:tcMar>
          </w:tcPr>
          <w:p w14:paraId="4F453CD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3部主题宣传片可正常循环播放；</w:t>
            </w:r>
            <w:r>
              <w:rPr>
                <w:rFonts w:hint="eastAsia" w:ascii="仿宋_GB2312" w:hAnsi="仿宋_GB2312" w:eastAsia="仿宋_GB2312" w:cs="仿宋_GB2312"/>
                <w:sz w:val="24"/>
                <w:szCs w:val="24"/>
                <w:lang w:val="en-US" w:eastAsia="zh-CN"/>
              </w:rPr>
              <w:t>3D</w:t>
            </w:r>
            <w:r>
              <w:rPr>
                <w:rFonts w:hint="eastAsia" w:ascii="仿宋_GB2312" w:hAnsi="仿宋_GB2312" w:eastAsia="仿宋_GB2312" w:cs="仿宋_GB2312"/>
                <w:sz w:val="24"/>
                <w:szCs w:val="24"/>
              </w:rPr>
              <w:t>沙盘立体直观展示园区现状布局与未来扩容规划，完整交付沙盘图纸与源文件。</w:t>
            </w:r>
          </w:p>
        </w:tc>
      </w:tr>
      <w:tr w14:paraId="1AC2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tcMar>
              <w:top w:w="60" w:type="dxa"/>
              <w:left w:w="120" w:type="dxa"/>
              <w:bottom w:w="30" w:type="dxa"/>
              <w:right w:w="120" w:type="dxa"/>
            </w:tcMar>
            <w:vAlign w:val="center"/>
          </w:tcPr>
          <w:p w14:paraId="58403A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2012" w:type="dxa"/>
            <w:tcMar>
              <w:top w:w="60" w:type="dxa"/>
              <w:left w:w="120" w:type="dxa"/>
              <w:bottom w:w="30" w:type="dxa"/>
              <w:right w:w="120" w:type="dxa"/>
            </w:tcMar>
            <w:vAlign w:val="center"/>
          </w:tcPr>
          <w:p w14:paraId="30C33A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安全文明施工</w:t>
            </w:r>
          </w:p>
        </w:tc>
        <w:tc>
          <w:tcPr>
            <w:tcW w:w="4933" w:type="dxa"/>
            <w:tcMar>
              <w:top w:w="60" w:type="dxa"/>
              <w:left w:w="120" w:type="dxa"/>
              <w:bottom w:w="30" w:type="dxa"/>
              <w:right w:w="120" w:type="dxa"/>
            </w:tcMar>
          </w:tcPr>
          <w:p w14:paraId="2152CC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用电、消防符合规范，施工不对原有展厅设施造成不可逆损坏，施工资料齐全。</w:t>
            </w:r>
          </w:p>
        </w:tc>
      </w:tr>
      <w:tr w14:paraId="61BA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20" w:type="dxa"/>
            <w:tcMar>
              <w:top w:w="60" w:type="dxa"/>
              <w:left w:w="120" w:type="dxa"/>
              <w:bottom w:w="30" w:type="dxa"/>
              <w:right w:w="120" w:type="dxa"/>
            </w:tcMar>
            <w:vAlign w:val="center"/>
          </w:tcPr>
          <w:p w14:paraId="41DC32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2012" w:type="dxa"/>
            <w:tcMar>
              <w:top w:w="60" w:type="dxa"/>
              <w:left w:w="120" w:type="dxa"/>
              <w:bottom w:w="30" w:type="dxa"/>
              <w:right w:w="120" w:type="dxa"/>
            </w:tcMar>
            <w:vAlign w:val="center"/>
          </w:tcPr>
          <w:p w14:paraId="6D01BCC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文档及培训</w:t>
            </w:r>
          </w:p>
        </w:tc>
        <w:tc>
          <w:tcPr>
            <w:tcW w:w="4933" w:type="dxa"/>
            <w:tcMar>
              <w:top w:w="60" w:type="dxa"/>
              <w:left w:w="120" w:type="dxa"/>
              <w:bottom w:w="30" w:type="dxa"/>
              <w:right w:w="120" w:type="dxa"/>
            </w:tcMar>
          </w:tcPr>
          <w:p w14:paraId="49385E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全套效果图、施工图、设计源文件、多媒体源文件归档移交；完成甲方操作保养培训，留存完整培训记录。</w:t>
            </w:r>
          </w:p>
        </w:tc>
      </w:tr>
    </w:tbl>
    <w:p w14:paraId="74BAE00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5" w:name="heading_6"/>
      <w:r>
        <w:rPr>
          <w:rFonts w:hint="eastAsia" w:ascii="方正楷体_GB2312" w:hAnsi="方正楷体_GB2312" w:eastAsia="方正楷体_GB2312" w:cs="方正楷体_GB2312"/>
          <w:b w:val="0"/>
          <w:bCs/>
          <w:sz w:val="32"/>
          <w:szCs w:val="32"/>
          <w:lang w:val="en-US" w:eastAsia="zh-CN"/>
        </w:rPr>
        <w:t>七、售后服务要求</w:t>
      </w:r>
      <w:bookmarkEnd w:id="5"/>
    </w:p>
    <w:p w14:paraId="6E055A3C">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w:t>
      </w:r>
      <w:r>
        <w:rPr>
          <w:rFonts w:hint="eastAsia" w:ascii="仿宋_GB2312" w:hAnsi="宋体" w:eastAsia="仿宋_GB2312" w:cs="仿宋_GB2312"/>
          <w:i w:val="0"/>
          <w:caps w:val="0"/>
          <w:color w:val="auto"/>
          <w:spacing w:val="0"/>
          <w:sz w:val="32"/>
          <w:szCs w:val="32"/>
          <w:shd w:val="clear" w:color="auto" w:fill="FFFFFF"/>
          <w:lang w:val="en-US" w:eastAsia="zh-CN"/>
        </w:rPr>
        <w:t>免费质保期</w:t>
      </w:r>
      <w:r>
        <w:rPr>
          <w:rFonts w:hint="eastAsia" w:ascii="仿宋_GB2312" w:hAnsi="仿宋_GB2312" w:eastAsia="仿宋_GB2312" w:cs="仿宋_GB2312"/>
          <w:color w:val="auto"/>
          <w:kern w:val="0"/>
          <w:sz w:val="32"/>
          <w:szCs w:val="32"/>
          <w:lang w:val="en-US" w:eastAsia="zh-CN" w:bidi="ar"/>
        </w:rPr>
        <w:t>：项目最终验收合格之日起不少于12个月。</w:t>
      </w:r>
    </w:p>
    <w:p w14:paraId="4E4FC241">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（二）故障响应要求：接到故障通知1小时内响应，24小时到达韶关项目现场处置。</w:t>
      </w:r>
    </w:p>
    <w:p w14:paraId="6911A048">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（三）质保期内，供应商对所供货物实行包修、包换、包退、包维护保养服务。</w:t>
      </w:r>
    </w:p>
    <w:p w14:paraId="799F3C0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（四）质保期满后，实行有偿服务，维护费双方可另行商定。售后服务由供应商负责，维护条款如下：</w:t>
      </w:r>
    </w:p>
    <w:p w14:paraId="77082ADC">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1.电话网络咨询及相关疑难解答。</w:t>
      </w:r>
    </w:p>
    <w:p w14:paraId="2A8050F0">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2.服务范围仅限软件系统及硬件产品。</w:t>
      </w:r>
    </w:p>
    <w:p w14:paraId="71085BF0">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3.系统软硬件如有故障，优先采用电话、网上维护等方式进行处理，确有需要视紧急程度可协商派技术人员在双方约定时间内到达现场处理。</w:t>
      </w:r>
    </w:p>
    <w:p w14:paraId="2EAB157C">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4.对纯因系统软件产生的问题，供应商提供远程或现场故障排除与技术服务；若因采购人操作或制度变更产生问题，或需要修改源程序的，将视情况收取一定的人工成本费用。</w:t>
      </w:r>
    </w:p>
    <w:p w14:paraId="4F91EC46">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（五）技术服务和指导内容：供应商提供的货物在货物安装完毕后，由供应商免费负责对甲方人员进行产品的使用及日常保养维护培训。</w:t>
      </w:r>
    </w:p>
    <w:p w14:paraId="6B3316F3">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（六）服务全过程严格遵守本项目保密规定，所有技术人员同样受保密条款约束。</w:t>
      </w:r>
    </w:p>
    <w:p w14:paraId="59E0220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6" w:name="heading_7"/>
      <w:r>
        <w:rPr>
          <w:rFonts w:hint="eastAsia" w:ascii="方正楷体_GB2312" w:hAnsi="方正楷体_GB2312" w:eastAsia="方正楷体_GB2312" w:cs="方正楷体_GB2312"/>
          <w:b w:val="0"/>
          <w:bCs/>
          <w:sz w:val="32"/>
          <w:szCs w:val="32"/>
          <w:lang w:val="en-US" w:eastAsia="zh-CN"/>
        </w:rPr>
        <w:t>八、供应商报价须知</w:t>
      </w:r>
      <w:bookmarkEnd w:id="6"/>
    </w:p>
    <w:p w14:paraId="598C3B65">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（一）供应商依据采购需求编制报价文件，对报价真实性负责，弄虚作假一经查实报价无效。</w:t>
      </w:r>
    </w:p>
    <w:p w14:paraId="7315825A">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★（二）报价截止时间：</w:t>
      </w:r>
      <w:r>
        <w:rPr>
          <w:rFonts w:hint="default" w:ascii="仿宋_GB2312" w:hAnsi="仿宋_GB2312" w:eastAsia="仿宋_GB2312" w:cs="仿宋_GB2312"/>
          <w:b/>
          <w:bCs/>
          <w:color w:val="auto"/>
          <w:kern w:val="0"/>
          <w:sz w:val="32"/>
          <w:szCs w:val="32"/>
          <w:lang w:val="en-US" w:eastAsia="zh-CN" w:bidi="ar"/>
        </w:rPr>
        <w:t>2026</w:t>
      </w:r>
      <w:r>
        <w:rPr>
          <w:rFonts w:hint="eastAsia" w:ascii="仿宋_GB2312" w:hAnsi="仿宋_GB2312" w:eastAsia="仿宋_GB2312" w:cs="仿宋_GB2312"/>
          <w:b/>
          <w:bCs/>
          <w:color w:val="auto"/>
          <w:kern w:val="0"/>
          <w:sz w:val="32"/>
          <w:szCs w:val="32"/>
          <w:lang w:val="en-US" w:eastAsia="zh-CN" w:bidi="ar"/>
        </w:rPr>
        <w:t>年</w:t>
      </w:r>
      <w:r>
        <w:rPr>
          <w:rFonts w:hint="default" w:ascii="仿宋_GB2312" w:hAnsi="仿宋_GB2312" w:eastAsia="仿宋_GB2312" w:cs="仿宋_GB2312"/>
          <w:b/>
          <w:bCs/>
          <w:color w:val="auto"/>
          <w:kern w:val="0"/>
          <w:sz w:val="32"/>
          <w:szCs w:val="32"/>
          <w:lang w:val="en-US" w:eastAsia="zh-CN" w:bidi="ar"/>
        </w:rPr>
        <w:t>11</w:t>
      </w:r>
      <w:r>
        <w:rPr>
          <w:rFonts w:hint="eastAsia" w:ascii="仿宋_GB2312" w:hAnsi="仿宋_GB2312" w:eastAsia="仿宋_GB2312" w:cs="仿宋_GB2312"/>
          <w:b/>
          <w:bCs/>
          <w:color w:val="auto"/>
          <w:kern w:val="0"/>
          <w:sz w:val="32"/>
          <w:szCs w:val="32"/>
          <w:lang w:val="en-US" w:eastAsia="zh-CN" w:bidi="ar"/>
        </w:rPr>
        <w:t>月</w:t>
      </w:r>
      <w:r>
        <w:rPr>
          <w:rFonts w:hint="default" w:ascii="仿宋_GB2312" w:hAnsi="仿宋_GB2312" w:eastAsia="仿宋_GB2312" w:cs="仿宋_GB2312"/>
          <w:b/>
          <w:bCs/>
          <w:color w:val="auto"/>
          <w:kern w:val="0"/>
          <w:sz w:val="32"/>
          <w:szCs w:val="32"/>
          <w:lang w:val="en-US" w:eastAsia="zh-CN" w:bidi="ar"/>
        </w:rPr>
        <w:t>2</w:t>
      </w:r>
      <w:r>
        <w:rPr>
          <w:rFonts w:hint="eastAsia" w:ascii="仿宋_GB2312" w:hAnsi="仿宋_GB2312" w:eastAsia="仿宋_GB2312" w:cs="仿宋_GB2312"/>
          <w:b/>
          <w:bCs/>
          <w:color w:val="auto"/>
          <w:kern w:val="0"/>
          <w:sz w:val="32"/>
          <w:szCs w:val="32"/>
          <w:lang w:val="en-US" w:eastAsia="zh-CN" w:bidi="ar"/>
        </w:rPr>
        <w:t>日16:00</w:t>
      </w:r>
      <w:r>
        <w:rPr>
          <w:rFonts w:hint="eastAsia" w:ascii="仿宋_GB2312" w:hAnsi="仿宋_GB2312" w:eastAsia="仿宋_GB2312" w:cs="仿宋_GB2312"/>
          <w:color w:val="auto"/>
          <w:kern w:val="0"/>
          <w:sz w:val="32"/>
          <w:szCs w:val="32"/>
          <w:lang w:val="en-US" w:eastAsia="zh-CN" w:bidi="ar"/>
        </w:rPr>
        <w:t>。报价文件须密封盖章（信封接缝处均需加盖单位公章）；密封不规范、快递超时、快递破损视为无效报价，风险由供应商自行承担。</w:t>
      </w:r>
    </w:p>
    <w:p w14:paraId="0D2028BA">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（三）合同生效后，应于2026年11月30日前完成全部交付验收；因采购人脚本确认、场地移交延迟等客观原因，工期相应顺延。</w:t>
      </w:r>
    </w:p>
    <w:p w14:paraId="2FE56D93">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7" w:name="heading_8"/>
      <w:r>
        <w:rPr>
          <w:rFonts w:hint="eastAsia" w:ascii="方正楷体_GB2312" w:hAnsi="方正楷体_GB2312" w:eastAsia="方正楷体_GB2312" w:cs="方正楷体_GB2312"/>
          <w:b w:val="0"/>
          <w:bCs/>
          <w:sz w:val="32"/>
          <w:szCs w:val="32"/>
          <w:lang w:val="en-US" w:eastAsia="zh-CN"/>
        </w:rPr>
        <w:t>九、成交规则</w:t>
      </w:r>
      <w:bookmarkEnd w:id="7"/>
    </w:p>
    <w:p w14:paraId="120608F4">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eastAsia" w:ascii="仿宋_GB2312" w:hAnsi="仿宋_GB2312" w:eastAsia="仿宋_GB2312" w:cs="仿宋_GB2312"/>
          <w:color w:val="auto"/>
          <w:kern w:val="0"/>
          <w:sz w:val="32"/>
          <w:szCs w:val="32"/>
          <w:lang w:val="en-US" w:eastAsia="zh-CN" w:bidi="ar"/>
        </w:rPr>
      </w:pPr>
      <w:bookmarkStart w:id="8" w:name="heading_9"/>
      <w:r>
        <w:rPr>
          <w:rFonts w:hint="eastAsia" w:ascii="仿宋_GB2312" w:hAnsi="仿宋_GB2312" w:eastAsia="仿宋_GB2312" w:cs="仿宋_GB2312"/>
          <w:b/>
          <w:sz w:val="32"/>
          <w:szCs w:val="32"/>
        </w:rPr>
        <w:t>（一）报价规则</w:t>
      </w:r>
      <w:bookmarkEnd w:id="8"/>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color w:val="auto"/>
          <w:kern w:val="0"/>
          <w:sz w:val="32"/>
          <w:szCs w:val="32"/>
          <w:lang w:val="en-US" w:eastAsia="zh-CN" w:bidi="ar"/>
        </w:rPr>
        <w:t>本项目为总价包干报价，包含项目全部工作内容、税费及伴随服务；除采购人书面重大变更外，不因现场局部工作量波动调整总价。报价不得高于最高限价，报价文件须列明分项报价及总报价。</w:t>
      </w:r>
    </w:p>
    <w:p w14:paraId="4B1610B8">
      <w:pPr>
        <w:bidi w:val="0"/>
        <w:spacing w:line="240" w:lineRule="auto"/>
        <w:jc w:val="both"/>
        <w:rPr>
          <w:rFonts w:hint="eastAsia" w:ascii="仿宋_GB2312" w:hAnsi="仿宋_GB2312" w:eastAsia="仿宋_GB2312" w:cs="仿宋_GB2312"/>
          <w:sz w:val="32"/>
          <w:szCs w:val="32"/>
        </w:rPr>
      </w:pPr>
      <w:r>
        <w:rPr>
          <w:rFonts w:hint="eastAsia" w:ascii="仿宋_GB2312" w:hAnsi="仿宋_GB2312" w:eastAsia="仿宋_GB2312" w:cs="仿宋_GB2312"/>
          <w:color w:val="auto"/>
          <w:kern w:val="0"/>
          <w:sz w:val="32"/>
          <w:szCs w:val="32"/>
          <w:lang w:val="en-US" w:eastAsia="zh-CN" w:bidi="ar"/>
        </w:rPr>
        <w:t>未被选用供应商的报价资料不予退回</w:t>
      </w:r>
      <w:r>
        <w:rPr>
          <w:rFonts w:hint="eastAsia" w:ascii="仿宋_GB2312" w:hAnsi="仿宋_GB2312" w:eastAsia="仿宋_GB2312" w:cs="仿宋_GB2312"/>
          <w:sz w:val="32"/>
          <w:szCs w:val="32"/>
        </w:rPr>
        <w:t>。</w:t>
      </w:r>
    </w:p>
    <w:p w14:paraId="381B6D08">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eastAsia" w:ascii="仿宋_GB2312" w:hAnsi="仿宋_GB2312" w:eastAsia="仿宋_GB2312" w:cs="仿宋_GB2312"/>
          <w:b/>
          <w:sz w:val="32"/>
          <w:szCs w:val="32"/>
          <w:lang w:eastAsia="zh-CN"/>
        </w:rPr>
      </w:pPr>
      <w:bookmarkStart w:id="9" w:name="heading_10"/>
      <w:r>
        <w:rPr>
          <w:rFonts w:hint="eastAsia" w:ascii="仿宋_GB2312" w:hAnsi="仿宋_GB2312" w:eastAsia="仿宋_GB2312" w:cs="仿宋_GB2312"/>
          <w:b/>
          <w:sz w:val="32"/>
          <w:szCs w:val="32"/>
        </w:rPr>
        <w:t>（二）成交、终止规则</w:t>
      </w:r>
      <w:bookmarkEnd w:id="9"/>
      <w:r>
        <w:rPr>
          <w:rFonts w:hint="eastAsia" w:ascii="仿宋_GB2312" w:hAnsi="仿宋_GB2312" w:eastAsia="仿宋_GB2312" w:cs="仿宋_GB2312"/>
          <w:b/>
          <w:sz w:val="32"/>
          <w:szCs w:val="32"/>
          <w:lang w:eastAsia="zh-CN"/>
        </w:rPr>
        <w:t>：</w:t>
      </w:r>
    </w:p>
    <w:p w14:paraId="151B8246">
      <w:pPr>
        <w:keepNext w:val="0"/>
        <w:keepLines w:val="0"/>
        <w:pageBreakBefore w:val="0"/>
        <w:widowControl w:val="0"/>
        <w:kinsoku/>
        <w:wordWrap/>
        <w:overflowPunct/>
        <w:topLinePunct w:val="0"/>
        <w:autoSpaceDE/>
        <w:autoSpaceDN/>
        <w:bidi w:val="0"/>
        <w:adjustRightInd/>
        <w:snapToGrid/>
        <w:spacing w:line="240" w:lineRule="auto"/>
        <w:ind w:left="0"/>
        <w:jc w:val="both"/>
        <w:textAlignment w:val="auto"/>
        <w:outlineLvl w:val="2"/>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1.成交规则：报价截止后，按照统一评审标准（详见附件评分标准）由</w:t>
      </w:r>
      <w:r>
        <w:rPr>
          <w:rFonts w:hint="eastAsia" w:ascii="仿宋_GB2312" w:hAnsi="仿宋_GB2312" w:eastAsia="仿宋_GB2312" w:cs="仿宋_GB2312"/>
          <w:b/>
          <w:bCs/>
          <w:color w:val="auto"/>
          <w:kern w:val="0"/>
          <w:sz w:val="32"/>
          <w:szCs w:val="32"/>
          <w:lang w:val="en-US" w:eastAsia="zh-CN" w:bidi="ar"/>
        </w:rPr>
        <w:t>采购人所属单位对各报价单位所提交的材料内容进行评分</w:t>
      </w:r>
      <w:r>
        <w:rPr>
          <w:rFonts w:hint="eastAsia"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b/>
          <w:bCs/>
          <w:color w:val="auto"/>
          <w:kern w:val="0"/>
          <w:sz w:val="32"/>
          <w:szCs w:val="32"/>
          <w:lang w:val="en-US" w:eastAsia="zh-CN" w:bidi="ar"/>
        </w:rPr>
        <w:t>选取分数最高者</w:t>
      </w:r>
      <w:r>
        <w:rPr>
          <w:rFonts w:hint="eastAsia" w:ascii="仿宋_GB2312" w:hAnsi="仿宋_GB2312" w:eastAsia="仿宋_GB2312" w:cs="仿宋_GB2312"/>
          <w:color w:val="auto"/>
          <w:kern w:val="0"/>
          <w:sz w:val="32"/>
          <w:szCs w:val="32"/>
          <w:lang w:val="en-US" w:eastAsia="zh-CN" w:bidi="ar"/>
        </w:rPr>
        <w:t>。必要时，采购人可以邀请报价单位到省档案馆对其所提供的设计制作方案作出解释说明。报价截止参与报价供应商不足3家，报价截止时间自动延长5个工作日。</w:t>
      </w:r>
    </w:p>
    <w:p w14:paraId="544993E1">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2.终止规则：公告期采购人因故取消采购任务、变更采购需求；或延长一次报价期限后，实质响应供应商仍不足3家，采购人有权终止本次采购。</w:t>
      </w:r>
    </w:p>
    <w:p w14:paraId="043AE47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方正楷体_GB2312" w:hAnsi="方正楷体_GB2312" w:eastAsia="方正楷体_GB2312" w:cs="方正楷体_GB2312"/>
          <w:b w:val="0"/>
          <w:bCs/>
          <w:sz w:val="32"/>
          <w:szCs w:val="32"/>
          <w:lang w:val="en-US" w:eastAsia="zh-CN"/>
        </w:rPr>
      </w:pPr>
      <w:bookmarkStart w:id="10" w:name="heading_11"/>
      <w:r>
        <w:rPr>
          <w:rFonts w:hint="eastAsia" w:ascii="方正楷体_GB2312" w:hAnsi="方正楷体_GB2312" w:eastAsia="方正楷体_GB2312" w:cs="方正楷体_GB2312"/>
          <w:b w:val="0"/>
          <w:bCs/>
          <w:sz w:val="32"/>
          <w:szCs w:val="32"/>
          <w:lang w:val="en-US" w:eastAsia="zh-CN"/>
        </w:rPr>
        <w:t>十、报价提交方式</w:t>
      </w:r>
      <w:bookmarkEnd w:id="10"/>
    </w:p>
    <w:p w14:paraId="58CCB370">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有意向参与本项目的供应商，请按本公告的相关要求准备报送材料，可邮寄或现场送交，报送地址：广东省广州市天河区龙口中路128号广东省档案馆。</w:t>
      </w:r>
    </w:p>
    <w:p w14:paraId="61A64DC6">
      <w:pPr>
        <w:bidi w:val="0"/>
        <w:spacing w:line="240" w:lineRule="auto"/>
        <w:jc w:val="both"/>
        <w:rPr>
          <w:rFonts w:hint="eastAsia" w:ascii="仿宋_GB2312" w:hAnsi="仿宋_GB2312" w:eastAsia="仿宋_GB2312" w:cs="仿宋_GB2312"/>
          <w:color w:val="auto"/>
          <w:kern w:val="0"/>
          <w:sz w:val="32"/>
          <w:szCs w:val="32"/>
          <w:lang w:val="en-US" w:eastAsia="zh-CN" w:bidi="ar"/>
        </w:rPr>
      </w:pPr>
    </w:p>
    <w:p w14:paraId="46B29778">
      <w:pPr>
        <w:bidi w:val="0"/>
        <w:spacing w:line="240" w:lineRule="auto"/>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收件人：</w:t>
      </w:r>
      <w:r>
        <w:rPr>
          <w:rFonts w:hint="eastAsia" w:ascii="仿宋_GB2312" w:hAnsi="仿宋_GB2312" w:eastAsia="仿宋_GB2312" w:cs="仿宋_GB2312"/>
          <w:color w:val="auto"/>
          <w:kern w:val="0"/>
          <w:sz w:val="32"/>
          <w:szCs w:val="32"/>
          <w:u w:val="single"/>
          <w:lang w:val="en-US" w:eastAsia="zh-CN" w:bidi="ar"/>
        </w:rPr>
        <w:t xml:space="preserve">  张女士  </w:t>
      </w:r>
      <w:r>
        <w:rPr>
          <w:rFonts w:hint="eastAsia" w:ascii="仿宋_GB2312" w:hAnsi="仿宋_GB2312" w:eastAsia="仿宋_GB2312" w:cs="仿宋_GB2312"/>
          <w:color w:val="auto"/>
          <w:kern w:val="0"/>
          <w:sz w:val="32"/>
          <w:szCs w:val="32"/>
          <w:lang w:val="en-US" w:eastAsia="zh-CN" w:bidi="ar"/>
        </w:rPr>
        <w:t>；联系电话：</w:t>
      </w:r>
      <w:r>
        <w:rPr>
          <w:rFonts w:hint="eastAsia" w:ascii="仿宋_GB2312" w:hAnsi="仿宋_GB2312" w:eastAsia="仿宋_GB2312" w:cs="仿宋_GB2312"/>
          <w:color w:val="auto"/>
          <w:kern w:val="0"/>
          <w:sz w:val="32"/>
          <w:szCs w:val="32"/>
          <w:u w:val="single"/>
          <w:lang w:val="en-US" w:eastAsia="zh-CN" w:bidi="ar"/>
        </w:rPr>
        <w:t xml:space="preserve">  15338141030  </w:t>
      </w:r>
      <w:r>
        <w:rPr>
          <w:rFonts w:hint="eastAsia" w:ascii="仿宋_GB2312" w:hAnsi="仿宋_GB2312" w:eastAsia="仿宋_GB2312" w:cs="仿宋_GB2312"/>
          <w:color w:val="auto"/>
          <w:kern w:val="0"/>
          <w:sz w:val="32"/>
          <w:szCs w:val="32"/>
          <w:lang w:val="en-US" w:eastAsia="zh-CN" w:bidi="ar"/>
        </w:rPr>
        <w:t>。</w:t>
      </w:r>
    </w:p>
    <w:p w14:paraId="6C799DA0">
      <w:pPr>
        <w:bidi w:val="0"/>
        <w:spacing w:line="240" w:lineRule="auto"/>
        <w:ind w:firstLine="5760" w:firstLineChars="1800"/>
        <w:jc w:val="both"/>
        <w:rPr>
          <w:rFonts w:hint="eastAsia" w:ascii="仿宋_GB2312" w:hAnsi="仿宋_GB2312" w:eastAsia="仿宋_GB2312" w:cs="仿宋_GB2312"/>
          <w:color w:val="auto"/>
          <w:kern w:val="0"/>
          <w:sz w:val="32"/>
          <w:szCs w:val="32"/>
          <w:lang w:val="en-US" w:eastAsia="zh-CN" w:bidi="ar"/>
        </w:rPr>
      </w:pPr>
    </w:p>
    <w:p w14:paraId="5069C990">
      <w:pPr>
        <w:bidi w:val="0"/>
        <w:spacing w:line="240" w:lineRule="auto"/>
        <w:ind w:firstLine="5760" w:firstLineChars="1800"/>
        <w:jc w:val="both"/>
        <w:rPr>
          <w:rFonts w:hint="eastAsia" w:ascii="仿宋_GB2312" w:hAnsi="仿宋_GB2312" w:eastAsia="仿宋_GB2312" w:cs="仿宋_GB2312"/>
          <w:color w:val="auto"/>
          <w:kern w:val="0"/>
          <w:sz w:val="32"/>
          <w:szCs w:val="32"/>
          <w:lang w:val="en-US" w:eastAsia="zh-CN" w:bidi="ar"/>
        </w:rPr>
      </w:pPr>
    </w:p>
    <w:p w14:paraId="08DA56DD">
      <w:pPr>
        <w:bidi w:val="0"/>
        <w:spacing w:line="240" w:lineRule="auto"/>
        <w:ind w:firstLine="5760" w:firstLineChars="1800"/>
        <w:jc w:val="both"/>
        <w:rPr>
          <w:rFonts w:hint="eastAsia" w:ascii="仿宋_GB2312" w:hAnsi="仿宋_GB2312" w:eastAsia="仿宋_GB2312" w:cs="仿宋_GB2312"/>
          <w:color w:val="auto"/>
          <w:kern w:val="0"/>
          <w:sz w:val="32"/>
          <w:szCs w:val="32"/>
          <w:lang w:val="en-US" w:eastAsia="zh-CN" w:bidi="ar"/>
        </w:rPr>
      </w:pPr>
    </w:p>
    <w:p w14:paraId="79F803EE">
      <w:pPr>
        <w:bidi w:val="0"/>
        <w:spacing w:line="240" w:lineRule="auto"/>
        <w:ind w:firstLine="5760" w:firstLineChars="1800"/>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广东省档案馆</w:t>
      </w:r>
    </w:p>
    <w:p w14:paraId="350C365C">
      <w:pPr>
        <w:bidi w:val="0"/>
        <w:spacing w:line="240" w:lineRule="auto"/>
        <w:ind w:leftChars="0" w:firstLine="5120" w:firstLineChars="1600"/>
        <w:jc w:val="both"/>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2026年</w:t>
      </w:r>
      <w:r>
        <w:rPr>
          <w:rFonts w:hint="default" w:ascii="仿宋_GB2312" w:hAnsi="仿宋_GB2312" w:eastAsia="仿宋_GB2312" w:cs="仿宋_GB2312"/>
          <w:color w:val="auto"/>
          <w:kern w:val="0"/>
          <w:sz w:val="32"/>
          <w:szCs w:val="32"/>
          <w:lang w:val="en-US" w:eastAsia="zh-CN" w:bidi="ar"/>
        </w:rPr>
        <w:t>10</w:t>
      </w:r>
      <w:r>
        <w:rPr>
          <w:rFonts w:hint="eastAsia" w:ascii="仿宋_GB2312" w:hAnsi="仿宋_GB2312" w:eastAsia="仿宋_GB2312" w:cs="仿宋_GB2312"/>
          <w:color w:val="auto"/>
          <w:kern w:val="0"/>
          <w:sz w:val="32"/>
          <w:szCs w:val="32"/>
          <w:lang w:val="en-US" w:eastAsia="zh-CN" w:bidi="ar"/>
        </w:rPr>
        <w:t>月</w:t>
      </w:r>
      <w:r>
        <w:rPr>
          <w:rFonts w:hint="default" w:ascii="仿宋_GB2312" w:hAnsi="仿宋_GB2312" w:eastAsia="仿宋_GB2312" w:cs="仿宋_GB2312"/>
          <w:color w:val="auto"/>
          <w:kern w:val="0"/>
          <w:sz w:val="32"/>
          <w:szCs w:val="32"/>
          <w:lang w:val="en-US" w:eastAsia="zh-CN" w:bidi="ar"/>
        </w:rPr>
        <w:t>26</w:t>
      </w:r>
      <w:r>
        <w:rPr>
          <w:rFonts w:hint="eastAsia" w:ascii="仿宋_GB2312" w:hAnsi="仿宋_GB2312" w:eastAsia="仿宋_GB2312" w:cs="仿宋_GB2312"/>
          <w:color w:val="auto"/>
          <w:kern w:val="0"/>
          <w:sz w:val="32"/>
          <w:szCs w:val="32"/>
          <w:lang w:val="en-US" w:eastAsia="zh-CN" w:bidi="ar"/>
        </w:rPr>
        <w:t>日</w:t>
      </w:r>
    </w:p>
    <w:p w14:paraId="46297F45">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bookmarkStart w:id="11" w:name="heading_12"/>
    </w:p>
    <w:p w14:paraId="329AAA63">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34ED0BF9">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58A84CA1">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268879A2">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1E1C3BF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1B98F3CD">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138CC70C">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仿宋_GB2312" w:hAnsi="仿宋_GB2312" w:eastAsia="仿宋_GB2312" w:cs="仿宋_GB2312"/>
          <w:b/>
          <w:sz w:val="32"/>
          <w:szCs w:val="32"/>
        </w:rPr>
      </w:pPr>
    </w:p>
    <w:p w14:paraId="0C524E2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附件：</w:t>
      </w:r>
    </w:p>
    <w:p w14:paraId="14E539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1"/>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评</w:t>
      </w:r>
      <w:bookmarkStart w:id="12" w:name="_GoBack"/>
      <w:bookmarkEnd w:id="12"/>
      <w:r>
        <w:rPr>
          <w:rFonts w:hint="eastAsia" w:ascii="方正小标宋简体" w:hAnsi="方正小标宋简体" w:eastAsia="方正小标宋简体" w:cs="方正小标宋简体"/>
          <w:b w:val="0"/>
          <w:bCs/>
          <w:sz w:val="44"/>
          <w:szCs w:val="44"/>
          <w:lang w:val="en-US" w:eastAsia="zh-CN"/>
        </w:rPr>
        <w:t>分标准</w:t>
      </w:r>
    </w:p>
    <w:p w14:paraId="19EFFDB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1"/>
        <w:rPr>
          <w:rFonts w:hint="eastAsia" w:ascii="方正小标宋简体" w:hAnsi="方正小标宋简体" w:eastAsia="方正小标宋简体" w:cs="方正小标宋简体"/>
          <w:b w:val="0"/>
          <w:bCs/>
          <w:sz w:val="44"/>
          <w:szCs w:val="44"/>
          <w:lang w:val="en-US" w:eastAsia="zh-CN"/>
        </w:rPr>
      </w:pPr>
    </w:p>
    <w:p w14:paraId="5A48DB23">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outlineLvl w:val="1"/>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lang w:eastAsia="zh-CN"/>
        </w:rPr>
        <w:t>（</w:t>
      </w:r>
      <w:r>
        <w:rPr>
          <w:rFonts w:hint="eastAsia" w:ascii="楷体_GB2312" w:hAnsi="楷体_GB2312" w:eastAsia="楷体_GB2312" w:cs="楷体_GB2312"/>
          <w:b w:val="0"/>
          <w:bCs/>
          <w:sz w:val="32"/>
          <w:szCs w:val="32"/>
          <w:lang w:val="en-US" w:eastAsia="zh-CN"/>
        </w:rPr>
        <w:t>一</w:t>
      </w:r>
      <w:r>
        <w:rPr>
          <w:rFonts w:hint="eastAsia" w:ascii="楷体_GB2312" w:hAnsi="楷体_GB2312" w:eastAsia="楷体_GB2312" w:cs="楷体_GB2312"/>
          <w:b w:val="0"/>
          <w:bCs/>
          <w:sz w:val="32"/>
          <w:szCs w:val="32"/>
          <w:lang w:eastAsia="zh-CN"/>
        </w:rPr>
        <w:t>）技术、商务及价格分值分配</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56"/>
        <w:gridCol w:w="1650"/>
        <w:gridCol w:w="1650"/>
        <w:gridCol w:w="1650"/>
        <w:gridCol w:w="1650"/>
      </w:tblGrid>
      <w:tr w14:paraId="6692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56" w:type="dxa"/>
            <w:shd w:val="clear" w:color="auto" w:fill="D7D7D7" w:themeFill="background1" w:themeFillShade="D8"/>
            <w:tcMar>
              <w:top w:w="60" w:type="dxa"/>
              <w:left w:w="120" w:type="dxa"/>
              <w:bottom w:w="30" w:type="dxa"/>
              <w:right w:w="120" w:type="dxa"/>
            </w:tcMar>
            <w:vAlign w:val="center"/>
          </w:tcPr>
          <w:p w14:paraId="46FE67A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评分项目</w:t>
            </w:r>
          </w:p>
        </w:tc>
        <w:tc>
          <w:tcPr>
            <w:tcW w:w="1650" w:type="dxa"/>
            <w:shd w:val="clear" w:color="auto" w:fill="D7D7D7" w:themeFill="background1" w:themeFillShade="D8"/>
            <w:tcMar>
              <w:top w:w="60" w:type="dxa"/>
              <w:left w:w="120" w:type="dxa"/>
              <w:bottom w:w="30" w:type="dxa"/>
              <w:right w:w="120" w:type="dxa"/>
            </w:tcMar>
            <w:vAlign w:val="center"/>
          </w:tcPr>
          <w:p w14:paraId="4BBF4A8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技术</w:t>
            </w:r>
          </w:p>
        </w:tc>
        <w:tc>
          <w:tcPr>
            <w:tcW w:w="1650" w:type="dxa"/>
            <w:shd w:val="clear" w:color="auto" w:fill="D7D7D7" w:themeFill="background1" w:themeFillShade="D8"/>
            <w:tcMar>
              <w:top w:w="60" w:type="dxa"/>
              <w:left w:w="120" w:type="dxa"/>
              <w:bottom w:w="30" w:type="dxa"/>
              <w:right w:w="120" w:type="dxa"/>
            </w:tcMar>
            <w:vAlign w:val="center"/>
          </w:tcPr>
          <w:p w14:paraId="156C0F0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商务</w:t>
            </w:r>
          </w:p>
        </w:tc>
        <w:tc>
          <w:tcPr>
            <w:tcW w:w="1650" w:type="dxa"/>
            <w:shd w:val="clear" w:color="auto" w:fill="D7D7D7" w:themeFill="background1" w:themeFillShade="D8"/>
            <w:tcMar>
              <w:top w:w="60" w:type="dxa"/>
              <w:left w:w="120" w:type="dxa"/>
              <w:bottom w:w="30" w:type="dxa"/>
              <w:right w:w="120" w:type="dxa"/>
            </w:tcMar>
            <w:vAlign w:val="center"/>
          </w:tcPr>
          <w:p w14:paraId="4E0BCB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价格</w:t>
            </w:r>
          </w:p>
        </w:tc>
        <w:tc>
          <w:tcPr>
            <w:tcW w:w="1650" w:type="dxa"/>
            <w:shd w:val="clear" w:color="auto" w:fill="D7D7D7" w:themeFill="background1" w:themeFillShade="D8"/>
            <w:tcMar>
              <w:top w:w="60" w:type="dxa"/>
              <w:left w:w="120" w:type="dxa"/>
              <w:bottom w:w="30" w:type="dxa"/>
              <w:right w:w="120" w:type="dxa"/>
            </w:tcMar>
            <w:vAlign w:val="center"/>
          </w:tcPr>
          <w:p w14:paraId="674DEC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合计</w:t>
            </w:r>
          </w:p>
        </w:tc>
      </w:tr>
      <w:tr w14:paraId="49C1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856" w:type="dxa"/>
            <w:tcMar>
              <w:top w:w="60" w:type="dxa"/>
              <w:left w:w="120" w:type="dxa"/>
              <w:bottom w:w="30" w:type="dxa"/>
              <w:right w:w="120" w:type="dxa"/>
            </w:tcMar>
            <w:vAlign w:val="center"/>
          </w:tcPr>
          <w:p w14:paraId="3FF1EC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分值</w:t>
            </w:r>
          </w:p>
        </w:tc>
        <w:tc>
          <w:tcPr>
            <w:tcW w:w="1650" w:type="dxa"/>
            <w:tcMar>
              <w:top w:w="60" w:type="dxa"/>
              <w:left w:w="120" w:type="dxa"/>
              <w:bottom w:w="30" w:type="dxa"/>
              <w:right w:w="120" w:type="dxa"/>
            </w:tcMar>
            <w:vAlign w:val="center"/>
          </w:tcPr>
          <w:p w14:paraId="7C7D45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分</w:t>
            </w:r>
          </w:p>
        </w:tc>
        <w:tc>
          <w:tcPr>
            <w:tcW w:w="1650" w:type="dxa"/>
            <w:tcMar>
              <w:top w:w="60" w:type="dxa"/>
              <w:left w:w="120" w:type="dxa"/>
              <w:bottom w:w="30" w:type="dxa"/>
              <w:right w:w="120" w:type="dxa"/>
            </w:tcMar>
            <w:vAlign w:val="center"/>
          </w:tcPr>
          <w:p w14:paraId="45CA066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分</w:t>
            </w:r>
          </w:p>
        </w:tc>
        <w:tc>
          <w:tcPr>
            <w:tcW w:w="1650" w:type="dxa"/>
            <w:tcMar>
              <w:top w:w="60" w:type="dxa"/>
              <w:left w:w="120" w:type="dxa"/>
              <w:bottom w:w="30" w:type="dxa"/>
              <w:right w:w="120" w:type="dxa"/>
            </w:tcMar>
            <w:vAlign w:val="center"/>
          </w:tcPr>
          <w:p w14:paraId="0AC6D02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分</w:t>
            </w:r>
          </w:p>
        </w:tc>
        <w:tc>
          <w:tcPr>
            <w:tcW w:w="1650" w:type="dxa"/>
            <w:tcMar>
              <w:top w:w="60" w:type="dxa"/>
              <w:left w:w="120" w:type="dxa"/>
              <w:bottom w:w="30" w:type="dxa"/>
              <w:right w:w="120" w:type="dxa"/>
            </w:tcMar>
            <w:vAlign w:val="center"/>
          </w:tcPr>
          <w:p w14:paraId="364DFE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100分</w:t>
            </w:r>
          </w:p>
        </w:tc>
      </w:tr>
    </w:tbl>
    <w:p w14:paraId="4D854271">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outlineLvl w:val="1"/>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二</w:t>
      </w:r>
      <w:r>
        <w:rPr>
          <w:rFonts w:hint="eastAsia" w:ascii="楷体_GB2312" w:hAnsi="楷体_GB2312" w:eastAsia="楷体_GB2312" w:cs="楷体_GB2312"/>
          <w:b/>
          <w:sz w:val="32"/>
          <w:szCs w:val="32"/>
          <w:lang w:eastAsia="zh-CN"/>
        </w:rPr>
        <w:t>）技术评审表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02"/>
        <w:gridCol w:w="1843"/>
        <w:gridCol w:w="1050"/>
        <w:gridCol w:w="4642"/>
      </w:tblGrid>
      <w:tr w14:paraId="464D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02" w:type="dxa"/>
            <w:shd w:val="clear" w:color="auto" w:fill="D7D7D7" w:themeFill="background1" w:themeFillShade="D8"/>
            <w:tcMar>
              <w:top w:w="60" w:type="dxa"/>
              <w:left w:w="120" w:type="dxa"/>
              <w:bottom w:w="30" w:type="dxa"/>
              <w:right w:w="120" w:type="dxa"/>
            </w:tcMar>
            <w:vAlign w:val="center"/>
          </w:tcPr>
          <w:p w14:paraId="695574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1843" w:type="dxa"/>
            <w:shd w:val="clear" w:color="auto" w:fill="D7D7D7" w:themeFill="background1" w:themeFillShade="D8"/>
            <w:tcMar>
              <w:top w:w="60" w:type="dxa"/>
              <w:left w:w="120" w:type="dxa"/>
              <w:bottom w:w="30" w:type="dxa"/>
              <w:right w:w="120" w:type="dxa"/>
            </w:tcMar>
            <w:vAlign w:val="center"/>
          </w:tcPr>
          <w:p w14:paraId="743CF2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评审分项</w:t>
            </w:r>
          </w:p>
        </w:tc>
        <w:tc>
          <w:tcPr>
            <w:tcW w:w="1050" w:type="dxa"/>
            <w:shd w:val="clear" w:color="auto" w:fill="D7D7D7" w:themeFill="background1" w:themeFillShade="D8"/>
            <w:tcMar>
              <w:top w:w="60" w:type="dxa"/>
              <w:left w:w="120" w:type="dxa"/>
              <w:bottom w:w="30" w:type="dxa"/>
              <w:right w:w="120" w:type="dxa"/>
            </w:tcMar>
            <w:vAlign w:val="center"/>
          </w:tcPr>
          <w:p w14:paraId="6A6B5C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最高分值</w:t>
            </w:r>
          </w:p>
        </w:tc>
        <w:tc>
          <w:tcPr>
            <w:tcW w:w="4642" w:type="dxa"/>
            <w:shd w:val="clear" w:color="auto" w:fill="D7D7D7" w:themeFill="background1" w:themeFillShade="D8"/>
            <w:tcMar>
              <w:top w:w="60" w:type="dxa"/>
              <w:left w:w="120" w:type="dxa"/>
              <w:bottom w:w="30" w:type="dxa"/>
              <w:right w:w="120" w:type="dxa"/>
            </w:tcMar>
            <w:vAlign w:val="center"/>
          </w:tcPr>
          <w:p w14:paraId="1C561B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评分标准</w:t>
            </w:r>
          </w:p>
        </w:tc>
      </w:tr>
      <w:tr w14:paraId="4C45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02" w:type="dxa"/>
            <w:tcMar>
              <w:top w:w="60" w:type="dxa"/>
              <w:left w:w="120" w:type="dxa"/>
              <w:bottom w:w="30" w:type="dxa"/>
              <w:right w:w="120" w:type="dxa"/>
            </w:tcMar>
            <w:vAlign w:val="center"/>
          </w:tcPr>
          <w:p w14:paraId="3630750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843" w:type="dxa"/>
            <w:tcMar>
              <w:top w:w="60" w:type="dxa"/>
              <w:left w:w="120" w:type="dxa"/>
              <w:bottom w:w="30" w:type="dxa"/>
              <w:right w:w="120" w:type="dxa"/>
            </w:tcMar>
            <w:vAlign w:val="center"/>
          </w:tcPr>
          <w:p w14:paraId="41D8DB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对项目理解</w:t>
            </w:r>
          </w:p>
        </w:tc>
        <w:tc>
          <w:tcPr>
            <w:tcW w:w="1050" w:type="dxa"/>
            <w:tcMar>
              <w:top w:w="60" w:type="dxa"/>
              <w:left w:w="120" w:type="dxa"/>
              <w:bottom w:w="30" w:type="dxa"/>
              <w:right w:w="120" w:type="dxa"/>
            </w:tcMar>
            <w:vAlign w:val="center"/>
          </w:tcPr>
          <w:p w14:paraId="7452682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w:t>
            </w:r>
          </w:p>
        </w:tc>
        <w:tc>
          <w:tcPr>
            <w:tcW w:w="4642" w:type="dxa"/>
            <w:tcMar>
              <w:top w:w="60" w:type="dxa"/>
              <w:left w:w="120" w:type="dxa"/>
              <w:bottom w:w="30" w:type="dxa"/>
              <w:right w:w="120" w:type="dxa"/>
            </w:tcMar>
          </w:tcPr>
          <w:p w14:paraId="6E6F15D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根据各响应供应商针对本项目理解情况（包括但不限于：各分区安排合理清晰、实施计划详细，布展方案完整，质量保证到位，安全防控措施明确等）进行综合评审：</w:t>
            </w:r>
          </w:p>
          <w:p w14:paraId="5BC7821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（1）完全符合要求，得</w:t>
            </w: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w:t>
            </w:r>
          </w:p>
          <w:p w14:paraId="3CEE9FB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（2）基本符合要求，得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w:t>
            </w:r>
          </w:p>
          <w:p w14:paraId="541E981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（3）有待完善，得</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w:t>
            </w:r>
          </w:p>
          <w:p w14:paraId="5B77B7D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（4）有明显欠缺，得2分； </w:t>
            </w:r>
          </w:p>
          <w:p w14:paraId="09CA51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（5）不提供相关方案或其他情形，得0分。</w:t>
            </w:r>
          </w:p>
        </w:tc>
      </w:tr>
      <w:tr w14:paraId="7C06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02" w:type="dxa"/>
            <w:tcMar>
              <w:top w:w="60" w:type="dxa"/>
              <w:left w:w="120" w:type="dxa"/>
              <w:bottom w:w="30" w:type="dxa"/>
              <w:right w:w="120" w:type="dxa"/>
            </w:tcMar>
            <w:vAlign w:val="center"/>
          </w:tcPr>
          <w:p w14:paraId="14C4D94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843" w:type="dxa"/>
            <w:tcMar>
              <w:top w:w="60" w:type="dxa"/>
              <w:left w:w="120" w:type="dxa"/>
              <w:bottom w:w="30" w:type="dxa"/>
              <w:right w:w="120" w:type="dxa"/>
            </w:tcMar>
            <w:vAlign w:val="center"/>
          </w:tcPr>
          <w:p w14:paraId="78A67FE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设计方案</w:t>
            </w:r>
          </w:p>
        </w:tc>
        <w:tc>
          <w:tcPr>
            <w:tcW w:w="1050" w:type="dxa"/>
            <w:tcMar>
              <w:top w:w="60" w:type="dxa"/>
              <w:left w:w="120" w:type="dxa"/>
              <w:bottom w:w="30" w:type="dxa"/>
              <w:right w:w="120" w:type="dxa"/>
            </w:tcMar>
            <w:vAlign w:val="center"/>
          </w:tcPr>
          <w:p w14:paraId="07D656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25</w:t>
            </w:r>
            <w:r>
              <w:rPr>
                <w:rFonts w:hint="eastAsia" w:ascii="仿宋_GB2312" w:hAnsi="仿宋_GB2312" w:eastAsia="仿宋_GB2312" w:cs="仿宋_GB2312"/>
                <w:sz w:val="24"/>
                <w:szCs w:val="24"/>
              </w:rPr>
              <w:t>分</w:t>
            </w:r>
          </w:p>
        </w:tc>
        <w:tc>
          <w:tcPr>
            <w:tcW w:w="4642" w:type="dxa"/>
            <w:tcMar>
              <w:top w:w="60" w:type="dxa"/>
              <w:left w:w="120" w:type="dxa"/>
              <w:bottom w:w="30" w:type="dxa"/>
              <w:right w:w="120" w:type="dxa"/>
            </w:tcMar>
          </w:tcPr>
          <w:p w14:paraId="0A642C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根据各</w:t>
            </w:r>
            <w:r>
              <w:rPr>
                <w:rFonts w:hint="eastAsia" w:ascii="仿宋_GB2312" w:hAnsi="仿宋_GB2312" w:eastAsia="仿宋_GB2312" w:cs="仿宋_GB2312"/>
                <w:sz w:val="24"/>
                <w:szCs w:val="24"/>
                <w:lang w:eastAsia="zh-CN"/>
              </w:rPr>
              <w:t>响应供应商</w:t>
            </w:r>
            <w:r>
              <w:rPr>
                <w:rFonts w:hint="eastAsia" w:ascii="仿宋_GB2312" w:hAnsi="仿宋_GB2312" w:eastAsia="仿宋_GB2312" w:cs="仿宋_GB2312"/>
                <w:sz w:val="24"/>
                <w:szCs w:val="24"/>
              </w:rPr>
              <w:t>针对本项目提供的设计方案（包括但不限于：展览</w:t>
            </w:r>
            <w:r>
              <w:rPr>
                <w:rFonts w:hint="eastAsia" w:ascii="仿宋_GB2312" w:hAnsi="仿宋_GB2312" w:eastAsia="仿宋_GB2312" w:cs="仿宋_GB2312"/>
                <w:sz w:val="24"/>
                <w:szCs w:val="24"/>
                <w:lang w:val="en-US" w:eastAsia="zh-CN"/>
              </w:rPr>
              <w:t>设计</w:t>
            </w:r>
            <w:r>
              <w:rPr>
                <w:rFonts w:hint="eastAsia" w:ascii="仿宋_GB2312" w:hAnsi="仿宋_GB2312" w:eastAsia="仿宋_GB2312" w:cs="仿宋_GB2312"/>
                <w:sz w:val="24"/>
                <w:szCs w:val="24"/>
              </w:rPr>
              <w:t>思路</w:t>
            </w:r>
            <w:r>
              <w:rPr>
                <w:rFonts w:hint="eastAsia" w:ascii="仿宋_GB2312" w:hAnsi="仿宋_GB2312" w:eastAsia="仿宋_GB2312" w:cs="仿宋_GB2312"/>
                <w:sz w:val="24"/>
                <w:szCs w:val="24"/>
                <w:lang w:val="en-US" w:eastAsia="zh-CN"/>
              </w:rPr>
              <w:t>理解明确</w:t>
            </w:r>
            <w:r>
              <w:rPr>
                <w:rFonts w:hint="eastAsia" w:ascii="仿宋_GB2312" w:hAnsi="仿宋_GB2312" w:eastAsia="仿宋_GB2312" w:cs="仿宋_GB2312"/>
                <w:sz w:val="24"/>
                <w:szCs w:val="24"/>
              </w:rPr>
              <w:t>；展览呈现效果</w:t>
            </w:r>
            <w:r>
              <w:rPr>
                <w:rFonts w:hint="eastAsia" w:ascii="仿宋_GB2312" w:hAnsi="仿宋_GB2312" w:eastAsia="仿宋_GB2312" w:cs="仿宋_GB2312"/>
                <w:sz w:val="24"/>
                <w:szCs w:val="24"/>
                <w:lang w:val="en-US" w:eastAsia="zh-CN"/>
              </w:rPr>
              <w:t>突出</w:t>
            </w:r>
            <w:r>
              <w:rPr>
                <w:rFonts w:hint="eastAsia" w:ascii="仿宋_GB2312" w:hAnsi="仿宋_GB2312" w:eastAsia="仿宋_GB2312" w:cs="仿宋_GB2312"/>
                <w:sz w:val="24"/>
                <w:szCs w:val="24"/>
              </w:rPr>
              <w:t>；展览布局规划合理，符合主题要求，特色鲜明，观众动线清晰等）进行综合评审：</w:t>
            </w:r>
          </w:p>
          <w:p w14:paraId="36A6B0F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完全符合要求</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得2</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w:t>
            </w:r>
          </w:p>
          <w:p w14:paraId="32227F7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基本符合</w:t>
            </w:r>
            <w:r>
              <w:rPr>
                <w:rFonts w:hint="eastAsia" w:ascii="仿宋_GB2312" w:hAnsi="仿宋_GB2312" w:eastAsia="仿宋_GB2312" w:cs="仿宋_GB2312"/>
                <w:sz w:val="24"/>
                <w:szCs w:val="24"/>
              </w:rPr>
              <w:t>要求</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得</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分；</w:t>
            </w:r>
          </w:p>
          <w:p w14:paraId="1D65853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有待完善</w:t>
            </w:r>
            <w:r>
              <w:rPr>
                <w:rFonts w:hint="eastAsia" w:ascii="仿宋_GB2312" w:hAnsi="仿宋_GB2312" w:eastAsia="仿宋_GB2312" w:cs="仿宋_GB2312"/>
                <w:sz w:val="24"/>
                <w:szCs w:val="24"/>
              </w:rPr>
              <w:t>，得1</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w:t>
            </w:r>
          </w:p>
          <w:p w14:paraId="2F5C46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val="en-US" w:eastAsia="zh-CN"/>
              </w:rPr>
              <w:t>有明显欠缺</w:t>
            </w:r>
            <w:r>
              <w:rPr>
                <w:rFonts w:hint="eastAsia" w:ascii="仿宋_GB2312" w:hAnsi="仿宋_GB2312" w:eastAsia="仿宋_GB2312" w:cs="仿宋_GB2312"/>
                <w:sz w:val="24"/>
                <w:szCs w:val="24"/>
              </w:rPr>
              <w:t>，得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 xml:space="preserve">分； </w:t>
            </w:r>
          </w:p>
          <w:p w14:paraId="56276B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（5）不提供相关方案或其他情形，得0分。</w:t>
            </w:r>
          </w:p>
        </w:tc>
      </w:tr>
      <w:tr w14:paraId="5AD6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2" w:type="dxa"/>
            <w:tcMar>
              <w:top w:w="60" w:type="dxa"/>
              <w:left w:w="120" w:type="dxa"/>
              <w:bottom w:w="30" w:type="dxa"/>
              <w:right w:w="120" w:type="dxa"/>
            </w:tcMar>
            <w:vAlign w:val="center"/>
          </w:tcPr>
          <w:p w14:paraId="5D6F69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843" w:type="dxa"/>
            <w:tcMar>
              <w:top w:w="60" w:type="dxa"/>
              <w:left w:w="120" w:type="dxa"/>
              <w:bottom w:w="30" w:type="dxa"/>
              <w:right w:w="120" w:type="dxa"/>
            </w:tcMar>
            <w:vAlign w:val="center"/>
          </w:tcPr>
          <w:p w14:paraId="099D8A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管理</w:t>
            </w:r>
          </w:p>
          <w:p w14:paraId="6888B67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实施方案</w:t>
            </w:r>
          </w:p>
        </w:tc>
        <w:tc>
          <w:tcPr>
            <w:tcW w:w="1050" w:type="dxa"/>
            <w:tcMar>
              <w:top w:w="60" w:type="dxa"/>
              <w:left w:w="120" w:type="dxa"/>
              <w:bottom w:w="30" w:type="dxa"/>
              <w:right w:w="120" w:type="dxa"/>
            </w:tcMar>
            <w:vAlign w:val="center"/>
          </w:tcPr>
          <w:p w14:paraId="34EA4CD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10分</w:t>
            </w:r>
          </w:p>
        </w:tc>
        <w:tc>
          <w:tcPr>
            <w:tcW w:w="4642" w:type="dxa"/>
            <w:tcMar>
              <w:top w:w="60" w:type="dxa"/>
              <w:left w:w="120" w:type="dxa"/>
              <w:bottom w:w="30" w:type="dxa"/>
              <w:right w:w="120" w:type="dxa"/>
            </w:tcMar>
          </w:tcPr>
          <w:p w14:paraId="5DB868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根据各响应供应商针对本项目提供的项目管理实施方案（包括但不限于：合理、完善，可行的项目管理实施方案，对施工技术标准、要求、操作流程、人员构成和工期安排等有详尽描述等）进行综合评审：</w:t>
            </w:r>
          </w:p>
          <w:p w14:paraId="70A5135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（1）完全符合要求，得10分；</w:t>
            </w:r>
          </w:p>
          <w:p w14:paraId="71160B8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（2）基本符合要求，得7分；</w:t>
            </w:r>
          </w:p>
          <w:p w14:paraId="0D2B248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（3）有待完善，得4分；</w:t>
            </w:r>
          </w:p>
          <w:p w14:paraId="0E7EB8F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（4）有明显欠缺，得2分； </w:t>
            </w:r>
          </w:p>
          <w:p w14:paraId="3B672C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（5）不提供相关方案或其他情形，得0分</w:t>
            </w:r>
          </w:p>
        </w:tc>
      </w:tr>
      <w:tr w14:paraId="47A8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02" w:type="dxa"/>
            <w:tcMar>
              <w:top w:w="60" w:type="dxa"/>
              <w:left w:w="120" w:type="dxa"/>
              <w:bottom w:w="30" w:type="dxa"/>
              <w:right w:w="120" w:type="dxa"/>
            </w:tcMar>
            <w:vAlign w:val="center"/>
          </w:tcPr>
          <w:p w14:paraId="3AA741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843" w:type="dxa"/>
            <w:tcMar>
              <w:top w:w="60" w:type="dxa"/>
              <w:left w:w="120" w:type="dxa"/>
              <w:bottom w:w="30" w:type="dxa"/>
              <w:right w:w="120" w:type="dxa"/>
            </w:tcMar>
            <w:vAlign w:val="center"/>
          </w:tcPr>
          <w:p w14:paraId="6E91658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售后服务方案</w:t>
            </w:r>
          </w:p>
        </w:tc>
        <w:tc>
          <w:tcPr>
            <w:tcW w:w="1050" w:type="dxa"/>
            <w:tcMar>
              <w:top w:w="60" w:type="dxa"/>
              <w:left w:w="120" w:type="dxa"/>
              <w:bottom w:w="30" w:type="dxa"/>
              <w:right w:w="120" w:type="dxa"/>
            </w:tcMar>
            <w:vAlign w:val="center"/>
          </w:tcPr>
          <w:p w14:paraId="21B404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10分</w:t>
            </w:r>
          </w:p>
        </w:tc>
        <w:tc>
          <w:tcPr>
            <w:tcW w:w="4642" w:type="dxa"/>
            <w:tcMar>
              <w:top w:w="60" w:type="dxa"/>
              <w:left w:w="120" w:type="dxa"/>
              <w:bottom w:w="30" w:type="dxa"/>
              <w:right w:w="120" w:type="dxa"/>
            </w:tcMar>
          </w:tcPr>
          <w:p w14:paraId="227B63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根据各响应供应商针对本项目提供的项目售后服务方案(包括但不限于：各项维护计划完善，售后服务管理各项质量指标完备、承诺明确清晰，能提供便捷服务等)进行评审：</w:t>
            </w:r>
          </w:p>
          <w:p w14:paraId="68DE556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（1）完全符合要求，得10分；</w:t>
            </w:r>
          </w:p>
          <w:p w14:paraId="6684AB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（2）基本符合要求，得7分；</w:t>
            </w:r>
          </w:p>
          <w:p w14:paraId="21D5A19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（3）有待完善，得4分；</w:t>
            </w:r>
          </w:p>
          <w:p w14:paraId="5A1E87E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（4）有明显欠缺，得2分； </w:t>
            </w:r>
          </w:p>
          <w:p w14:paraId="10C5955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（5）不提供相关方案或其他情形，得0分。</w:t>
            </w:r>
          </w:p>
        </w:tc>
      </w:tr>
      <w:tr w14:paraId="146B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02" w:type="dxa"/>
            <w:tcMar>
              <w:top w:w="60" w:type="dxa"/>
              <w:left w:w="120" w:type="dxa"/>
              <w:bottom w:w="30" w:type="dxa"/>
              <w:right w:w="120" w:type="dxa"/>
            </w:tcMar>
          </w:tcPr>
          <w:p w14:paraId="56DA65A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合计</w:t>
            </w:r>
          </w:p>
        </w:tc>
        <w:tc>
          <w:tcPr>
            <w:tcW w:w="1843" w:type="dxa"/>
            <w:tcMar>
              <w:top w:w="60" w:type="dxa"/>
              <w:left w:w="120" w:type="dxa"/>
              <w:bottom w:w="30" w:type="dxa"/>
              <w:right w:w="120" w:type="dxa"/>
            </w:tcMar>
            <w:vAlign w:val="center"/>
          </w:tcPr>
          <w:p w14:paraId="6E614817">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center"/>
              <w:textAlignment w:val="auto"/>
              <w:rPr>
                <w:rFonts w:hint="eastAsia" w:ascii="仿宋_GB2312" w:hAnsi="仿宋_GB2312" w:eastAsia="仿宋_GB2312" w:cs="仿宋_GB2312"/>
                <w:sz w:val="32"/>
                <w:szCs w:val="32"/>
              </w:rPr>
            </w:pPr>
          </w:p>
        </w:tc>
        <w:tc>
          <w:tcPr>
            <w:tcW w:w="1050" w:type="dxa"/>
            <w:tcMar>
              <w:top w:w="60" w:type="dxa"/>
              <w:left w:w="120" w:type="dxa"/>
              <w:bottom w:w="30" w:type="dxa"/>
              <w:right w:w="120" w:type="dxa"/>
            </w:tcMar>
            <w:vAlign w:val="center"/>
          </w:tcPr>
          <w:p w14:paraId="5099FD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60</w:t>
            </w:r>
            <w:r>
              <w:rPr>
                <w:rFonts w:hint="eastAsia" w:ascii="仿宋_GB2312" w:hAnsi="仿宋_GB2312" w:eastAsia="仿宋_GB2312" w:cs="仿宋_GB2312"/>
                <w:b/>
                <w:sz w:val="32"/>
                <w:szCs w:val="32"/>
              </w:rPr>
              <w:t>分</w:t>
            </w:r>
          </w:p>
        </w:tc>
        <w:tc>
          <w:tcPr>
            <w:tcW w:w="4642" w:type="dxa"/>
            <w:tcMar>
              <w:top w:w="60" w:type="dxa"/>
              <w:left w:w="120" w:type="dxa"/>
              <w:bottom w:w="30" w:type="dxa"/>
              <w:right w:w="120" w:type="dxa"/>
            </w:tcMar>
          </w:tcPr>
          <w:p w14:paraId="1AFD4295">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_GB2312" w:hAnsi="仿宋_GB2312" w:eastAsia="仿宋_GB2312" w:cs="仿宋_GB2312"/>
                <w:sz w:val="32"/>
                <w:szCs w:val="32"/>
              </w:rPr>
            </w:pPr>
          </w:p>
        </w:tc>
      </w:tr>
    </w:tbl>
    <w:p w14:paraId="1371285E">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outlineLvl w:val="1"/>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lang w:eastAsia="zh-CN"/>
        </w:rPr>
        <w:t>（</w:t>
      </w:r>
      <w:r>
        <w:rPr>
          <w:rFonts w:hint="eastAsia" w:ascii="楷体_GB2312" w:hAnsi="楷体_GB2312" w:eastAsia="楷体_GB2312" w:cs="楷体_GB2312"/>
          <w:b w:val="0"/>
          <w:bCs/>
          <w:sz w:val="32"/>
          <w:szCs w:val="32"/>
          <w:lang w:val="en-US" w:eastAsia="zh-CN"/>
        </w:rPr>
        <w:t>三</w:t>
      </w:r>
      <w:r>
        <w:rPr>
          <w:rFonts w:hint="eastAsia" w:ascii="楷体_GB2312" w:hAnsi="楷体_GB2312" w:eastAsia="楷体_GB2312" w:cs="楷体_GB2312"/>
          <w:b w:val="0"/>
          <w:bCs/>
          <w:sz w:val="32"/>
          <w:szCs w:val="32"/>
          <w:lang w:eastAsia="zh-CN"/>
        </w:rPr>
        <w:t>）商务评审表</w:t>
      </w:r>
    </w:p>
    <w:tbl>
      <w:tblPr>
        <w:tblStyle w:val="3"/>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30"/>
        <w:gridCol w:w="1853"/>
        <w:gridCol w:w="1050"/>
        <w:gridCol w:w="4826"/>
      </w:tblGrid>
      <w:tr w14:paraId="1128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shd w:val="clear" w:color="auto" w:fill="D7D7D7" w:themeFill="background1" w:themeFillShade="D8"/>
            <w:tcMar>
              <w:top w:w="60" w:type="dxa"/>
              <w:left w:w="120" w:type="dxa"/>
              <w:bottom w:w="30" w:type="dxa"/>
              <w:right w:w="120" w:type="dxa"/>
            </w:tcMar>
            <w:vAlign w:val="center"/>
          </w:tcPr>
          <w:p w14:paraId="3C6A1C0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853" w:type="dxa"/>
            <w:shd w:val="clear" w:color="auto" w:fill="D7D7D7" w:themeFill="background1" w:themeFillShade="D8"/>
            <w:tcMar>
              <w:top w:w="60" w:type="dxa"/>
              <w:left w:w="120" w:type="dxa"/>
              <w:bottom w:w="30" w:type="dxa"/>
              <w:right w:w="120" w:type="dxa"/>
            </w:tcMar>
            <w:vAlign w:val="center"/>
          </w:tcPr>
          <w:p w14:paraId="077DF7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评审分项</w:t>
            </w:r>
          </w:p>
        </w:tc>
        <w:tc>
          <w:tcPr>
            <w:tcW w:w="1050" w:type="dxa"/>
            <w:shd w:val="clear" w:color="auto" w:fill="D7D7D7" w:themeFill="background1" w:themeFillShade="D8"/>
            <w:tcMar>
              <w:top w:w="60" w:type="dxa"/>
              <w:left w:w="120" w:type="dxa"/>
              <w:bottom w:w="30" w:type="dxa"/>
              <w:right w:w="120" w:type="dxa"/>
            </w:tcMar>
            <w:vAlign w:val="center"/>
          </w:tcPr>
          <w:p w14:paraId="49781F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最高分值</w:t>
            </w:r>
          </w:p>
        </w:tc>
        <w:tc>
          <w:tcPr>
            <w:tcW w:w="4826" w:type="dxa"/>
            <w:shd w:val="clear" w:color="auto" w:fill="D7D7D7" w:themeFill="background1" w:themeFillShade="D8"/>
            <w:tcMar>
              <w:top w:w="60" w:type="dxa"/>
              <w:left w:w="120" w:type="dxa"/>
              <w:bottom w:w="30" w:type="dxa"/>
              <w:right w:w="120" w:type="dxa"/>
            </w:tcMar>
            <w:vAlign w:val="center"/>
          </w:tcPr>
          <w:p w14:paraId="5D63BA89">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评分标准</w:t>
            </w:r>
          </w:p>
        </w:tc>
      </w:tr>
      <w:tr w14:paraId="59F4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tcMar>
              <w:top w:w="60" w:type="dxa"/>
              <w:left w:w="120" w:type="dxa"/>
              <w:bottom w:w="30" w:type="dxa"/>
              <w:right w:w="120" w:type="dxa"/>
            </w:tcMar>
            <w:vAlign w:val="center"/>
          </w:tcPr>
          <w:p w14:paraId="03A36A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853" w:type="dxa"/>
            <w:tcMar>
              <w:top w:w="60" w:type="dxa"/>
              <w:left w:w="120" w:type="dxa"/>
              <w:bottom w:w="30" w:type="dxa"/>
              <w:right w:w="120" w:type="dxa"/>
            </w:tcMar>
            <w:vAlign w:val="center"/>
          </w:tcPr>
          <w:p w14:paraId="472202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企业业绩</w:t>
            </w:r>
          </w:p>
        </w:tc>
        <w:tc>
          <w:tcPr>
            <w:tcW w:w="1050" w:type="dxa"/>
            <w:tcMar>
              <w:top w:w="60" w:type="dxa"/>
              <w:left w:w="120" w:type="dxa"/>
              <w:bottom w:w="30" w:type="dxa"/>
              <w:right w:w="120" w:type="dxa"/>
            </w:tcMar>
            <w:vAlign w:val="center"/>
          </w:tcPr>
          <w:p w14:paraId="038F934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w:t>
            </w:r>
          </w:p>
        </w:tc>
        <w:tc>
          <w:tcPr>
            <w:tcW w:w="4826" w:type="dxa"/>
            <w:tcMar>
              <w:top w:w="60" w:type="dxa"/>
              <w:left w:w="120" w:type="dxa"/>
              <w:bottom w:w="30" w:type="dxa"/>
              <w:right w:w="120" w:type="dxa"/>
            </w:tcMar>
          </w:tcPr>
          <w:p w14:paraId="1FB9B3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拟自2023年1月1日至今（以合同签署日期为准）响应供应商具有完成的展台/展厅/展陈等同类项目业绩。每提供一项有效业绩得2分，最高得10分。</w:t>
            </w:r>
          </w:p>
          <w:p w14:paraId="359851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须提供合同关键页复印件（包括但不限于签订合同双方的单位名称、合同项目名称、合同服务内容、与含签订合同双方的落款盖章、签订日期页）及验收报告复印件，未按要求提供或提供的证明材料无法清晰辨认的不得分。</w:t>
            </w:r>
          </w:p>
        </w:tc>
      </w:tr>
      <w:tr w14:paraId="3F3C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tcMar>
              <w:top w:w="60" w:type="dxa"/>
              <w:left w:w="120" w:type="dxa"/>
              <w:bottom w:w="30" w:type="dxa"/>
              <w:right w:w="120" w:type="dxa"/>
            </w:tcMar>
            <w:vAlign w:val="center"/>
          </w:tcPr>
          <w:p w14:paraId="2636ED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p>
        </w:tc>
        <w:tc>
          <w:tcPr>
            <w:tcW w:w="1853" w:type="dxa"/>
            <w:tcMar>
              <w:top w:w="60" w:type="dxa"/>
              <w:left w:w="120" w:type="dxa"/>
              <w:bottom w:w="30" w:type="dxa"/>
              <w:right w:w="120" w:type="dxa"/>
            </w:tcMar>
            <w:vAlign w:val="center"/>
          </w:tcPr>
          <w:p w14:paraId="5DD8ADB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拟投入本项目技术团队专业水平</w:t>
            </w:r>
          </w:p>
        </w:tc>
        <w:tc>
          <w:tcPr>
            <w:tcW w:w="1050" w:type="dxa"/>
            <w:tcMar>
              <w:top w:w="60" w:type="dxa"/>
              <w:left w:w="120" w:type="dxa"/>
              <w:bottom w:w="30" w:type="dxa"/>
              <w:right w:w="120" w:type="dxa"/>
            </w:tcMar>
            <w:vAlign w:val="center"/>
          </w:tcPr>
          <w:p w14:paraId="13EF71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w:t>
            </w:r>
          </w:p>
        </w:tc>
        <w:tc>
          <w:tcPr>
            <w:tcW w:w="4826" w:type="dxa"/>
            <w:tcMar>
              <w:top w:w="60" w:type="dxa"/>
              <w:left w:w="120" w:type="dxa"/>
              <w:bottom w:w="30" w:type="dxa"/>
              <w:right w:w="120" w:type="dxa"/>
            </w:tcMar>
          </w:tcPr>
          <w:p w14:paraId="162DCA4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拟派本项目的人员具备以下能力：</w:t>
            </w:r>
          </w:p>
          <w:p w14:paraId="557DE530">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①拟投入本项目的人员具有艺术类相关专业高级（或以上）职称的，每人得2分，具有艺术类相关专业中级职称的，每人得1分，本小项最高得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分（同一人具备多个职称不累计，按照最高档计分）。</w:t>
            </w:r>
          </w:p>
          <w:p w14:paraId="7C6101B0">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②拟投入本项目的人员完成的档案馆或博物馆或场馆类似陈列展览项目获得过相关奖项得2分，本小项最高得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w:t>
            </w:r>
          </w:p>
          <w:p w14:paraId="544733E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注：需提供以上人员的相应证明材料复印件，且提供在投标单位购买的投标截止之日前6个月内任一个月的社保证明，不提供或提供材料不全的不得分</w:t>
            </w:r>
            <w:r>
              <w:rPr>
                <w:rFonts w:hint="eastAsia" w:ascii="仿宋_GB2312" w:hAnsi="仿宋_GB2312" w:eastAsia="仿宋_GB2312" w:cs="仿宋_GB2312"/>
                <w:sz w:val="24"/>
                <w:szCs w:val="24"/>
                <w:lang w:eastAsia="zh-CN"/>
              </w:rPr>
              <w:t>。</w:t>
            </w:r>
          </w:p>
        </w:tc>
      </w:tr>
      <w:tr w14:paraId="0A8B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0" w:type="dxa"/>
            <w:shd w:val="clear" w:color="auto" w:fill="auto"/>
            <w:tcMar>
              <w:top w:w="60" w:type="dxa"/>
              <w:left w:w="120" w:type="dxa"/>
              <w:bottom w:w="30" w:type="dxa"/>
              <w:right w:w="120" w:type="dxa"/>
            </w:tcMar>
            <w:vAlign w:val="center"/>
          </w:tcPr>
          <w:p w14:paraId="557E15A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1853" w:type="dxa"/>
            <w:shd w:val="clear" w:color="auto" w:fill="auto"/>
            <w:tcMar>
              <w:top w:w="60" w:type="dxa"/>
              <w:left w:w="120" w:type="dxa"/>
              <w:bottom w:w="30" w:type="dxa"/>
              <w:right w:w="120" w:type="dxa"/>
            </w:tcMar>
            <w:vAlign w:val="center"/>
          </w:tcPr>
          <w:p w14:paraId="4974220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客户评价</w:t>
            </w:r>
          </w:p>
        </w:tc>
        <w:tc>
          <w:tcPr>
            <w:tcW w:w="1050" w:type="dxa"/>
            <w:shd w:val="clear" w:color="auto" w:fill="auto"/>
            <w:tcMar>
              <w:top w:w="60" w:type="dxa"/>
              <w:left w:w="120" w:type="dxa"/>
              <w:bottom w:w="30" w:type="dxa"/>
              <w:right w:w="120" w:type="dxa"/>
            </w:tcMar>
            <w:vAlign w:val="center"/>
          </w:tcPr>
          <w:p w14:paraId="2BF48D4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w:t>
            </w:r>
          </w:p>
        </w:tc>
        <w:tc>
          <w:tcPr>
            <w:tcW w:w="4826" w:type="dxa"/>
            <w:shd w:val="clear" w:color="auto" w:fill="auto"/>
            <w:tcMar>
              <w:top w:w="60" w:type="dxa"/>
              <w:left w:w="120" w:type="dxa"/>
              <w:bottom w:w="30" w:type="dxa"/>
              <w:right w:w="120" w:type="dxa"/>
            </w:tcMar>
            <w:vAlign w:val="top"/>
          </w:tcPr>
          <w:p w14:paraId="16492FA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响应供应商</w:t>
            </w:r>
            <w:r>
              <w:rPr>
                <w:rFonts w:hint="eastAsia" w:ascii="仿宋_GB2312" w:hAnsi="仿宋_GB2312" w:eastAsia="仿宋_GB2312" w:cs="仿宋_GB2312"/>
                <w:sz w:val="24"/>
                <w:szCs w:val="24"/>
              </w:rPr>
              <w:t>有获得上述有效业绩的客户对其服务质量评价，且评价内容须包括满意或优等类似的正面满意度评价内容材料，需盖有合同的甲方单位公章（可以为单位公章或业务管理部门章等内设置机构章），每提供一份得2分，最高得</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w:t>
            </w:r>
          </w:p>
          <w:p w14:paraId="0DF970A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注：1、提供证明材料复印件，加盖</w:t>
            </w:r>
            <w:r>
              <w:rPr>
                <w:rFonts w:hint="eastAsia" w:ascii="仿宋_GB2312" w:hAnsi="仿宋_GB2312" w:eastAsia="仿宋_GB2312" w:cs="仿宋_GB2312"/>
                <w:sz w:val="24"/>
                <w:szCs w:val="24"/>
                <w:lang w:eastAsia="zh-CN"/>
              </w:rPr>
              <w:t>响应供应商</w:t>
            </w:r>
            <w:r>
              <w:rPr>
                <w:rFonts w:hint="eastAsia" w:ascii="仿宋_GB2312" w:hAnsi="仿宋_GB2312" w:eastAsia="仿宋_GB2312" w:cs="仿宋_GB2312"/>
                <w:sz w:val="24"/>
                <w:szCs w:val="24"/>
              </w:rPr>
              <w:t>公章；2、提供多个评价材料均为同一甲方单位的，只计算为一个评价</w:t>
            </w:r>
            <w:r>
              <w:rPr>
                <w:rFonts w:hint="eastAsia" w:ascii="仿宋_GB2312" w:hAnsi="仿宋_GB2312" w:eastAsia="仿宋_GB2312" w:cs="仿宋_GB2312"/>
                <w:sz w:val="24"/>
                <w:szCs w:val="24"/>
                <w:lang w:eastAsia="zh-CN"/>
              </w:rPr>
              <w:t>。</w:t>
            </w:r>
          </w:p>
        </w:tc>
      </w:tr>
      <w:tr w14:paraId="1355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tcMar>
              <w:top w:w="60" w:type="dxa"/>
              <w:left w:w="120" w:type="dxa"/>
              <w:bottom w:w="30" w:type="dxa"/>
              <w:right w:w="120" w:type="dxa"/>
            </w:tcMar>
            <w:vAlign w:val="center"/>
          </w:tcPr>
          <w:p w14:paraId="3BF580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5</w:t>
            </w:r>
          </w:p>
        </w:tc>
        <w:tc>
          <w:tcPr>
            <w:tcW w:w="1853" w:type="dxa"/>
            <w:tcMar>
              <w:top w:w="60" w:type="dxa"/>
              <w:left w:w="120" w:type="dxa"/>
              <w:bottom w:w="30" w:type="dxa"/>
              <w:right w:w="120" w:type="dxa"/>
            </w:tcMar>
            <w:vAlign w:val="center"/>
          </w:tcPr>
          <w:p w14:paraId="106BC2F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服务响应</w:t>
            </w:r>
          </w:p>
          <w:p w14:paraId="5694FF4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时间承诺</w:t>
            </w:r>
          </w:p>
        </w:tc>
        <w:tc>
          <w:tcPr>
            <w:tcW w:w="1050" w:type="dxa"/>
            <w:tcMar>
              <w:top w:w="60" w:type="dxa"/>
              <w:left w:w="120" w:type="dxa"/>
              <w:bottom w:w="30" w:type="dxa"/>
              <w:right w:w="120" w:type="dxa"/>
            </w:tcMar>
            <w:vAlign w:val="center"/>
          </w:tcPr>
          <w:p w14:paraId="01500B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w:t>
            </w:r>
          </w:p>
        </w:tc>
        <w:tc>
          <w:tcPr>
            <w:tcW w:w="4826" w:type="dxa"/>
            <w:tcMar>
              <w:top w:w="60" w:type="dxa"/>
              <w:left w:w="120" w:type="dxa"/>
              <w:bottom w:w="30" w:type="dxa"/>
              <w:right w:w="120" w:type="dxa"/>
            </w:tcMar>
          </w:tcPr>
          <w:p w14:paraId="1ECDC5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根据响应供应商提供的服务响应时间承诺进行评审：</w:t>
            </w:r>
          </w:p>
          <w:p w14:paraId="2E152C6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（1）自接到采购人提出的服务通知时，响应供应商能够在1小时内响应，24小时内到达现场，服务措施高效的，得</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w:t>
            </w:r>
          </w:p>
          <w:p w14:paraId="565C0D8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（2）自接到采购人提出的服务通知时，响应供应商能够在1天内响应，</w:t>
            </w:r>
            <w:r>
              <w:rPr>
                <w:rFonts w:hint="eastAsia" w:ascii="仿宋_GB2312" w:hAnsi="仿宋_GB2312" w:eastAsia="仿宋_GB2312" w:cs="仿宋_GB2312"/>
                <w:sz w:val="24"/>
                <w:szCs w:val="24"/>
                <w:lang w:val="en-US" w:eastAsia="zh-CN"/>
              </w:rPr>
              <w:t>36小时</w:t>
            </w:r>
            <w:r>
              <w:rPr>
                <w:rFonts w:hint="eastAsia" w:ascii="仿宋_GB2312" w:hAnsi="仿宋_GB2312" w:eastAsia="仿宋_GB2312" w:cs="仿宋_GB2312"/>
                <w:sz w:val="24"/>
                <w:szCs w:val="24"/>
              </w:rPr>
              <w:t>内到达现场，服务措施比较高效的，得</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分；</w:t>
            </w:r>
          </w:p>
          <w:p w14:paraId="2C78848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（3）其它情况或不提供承诺不得分。</w:t>
            </w:r>
          </w:p>
          <w:p w14:paraId="19B245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注：提供承诺函（自拟），否则不得分</w:t>
            </w:r>
          </w:p>
        </w:tc>
      </w:tr>
      <w:tr w14:paraId="5EE3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shd w:val="clear" w:color="auto" w:fill="auto"/>
            <w:tcMar>
              <w:top w:w="60" w:type="dxa"/>
              <w:left w:w="120" w:type="dxa"/>
              <w:bottom w:w="30" w:type="dxa"/>
              <w:right w:w="120" w:type="dxa"/>
            </w:tcMar>
            <w:vAlign w:val="top"/>
          </w:tcPr>
          <w:p w14:paraId="3FF359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合计</w:t>
            </w:r>
          </w:p>
        </w:tc>
        <w:tc>
          <w:tcPr>
            <w:tcW w:w="1853" w:type="dxa"/>
            <w:shd w:val="clear" w:color="auto" w:fill="auto"/>
            <w:tcMar>
              <w:top w:w="60" w:type="dxa"/>
              <w:left w:w="120" w:type="dxa"/>
              <w:bottom w:w="30" w:type="dxa"/>
              <w:right w:w="120" w:type="dxa"/>
            </w:tcMar>
            <w:vAlign w:val="top"/>
          </w:tcPr>
          <w:p w14:paraId="1BE359E9">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left"/>
              <w:textAlignment w:val="auto"/>
              <w:rPr>
                <w:rFonts w:hint="eastAsia" w:ascii="仿宋_GB2312" w:hAnsi="仿宋_GB2312" w:eastAsia="仿宋_GB2312" w:cs="仿宋_GB2312"/>
                <w:sz w:val="32"/>
                <w:szCs w:val="32"/>
              </w:rPr>
            </w:pPr>
          </w:p>
        </w:tc>
        <w:tc>
          <w:tcPr>
            <w:tcW w:w="1050" w:type="dxa"/>
            <w:shd w:val="clear" w:color="auto" w:fill="auto"/>
            <w:tcMar>
              <w:top w:w="60" w:type="dxa"/>
              <w:left w:w="120" w:type="dxa"/>
              <w:bottom w:w="30" w:type="dxa"/>
              <w:right w:w="120" w:type="dxa"/>
            </w:tcMar>
            <w:vAlign w:val="top"/>
          </w:tcPr>
          <w:p w14:paraId="6573267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25</w:t>
            </w:r>
            <w:r>
              <w:rPr>
                <w:rFonts w:hint="eastAsia" w:ascii="仿宋_GB2312" w:hAnsi="仿宋_GB2312" w:eastAsia="仿宋_GB2312" w:cs="仿宋_GB2312"/>
                <w:b/>
                <w:sz w:val="32"/>
                <w:szCs w:val="32"/>
              </w:rPr>
              <w:t>分</w:t>
            </w:r>
          </w:p>
        </w:tc>
        <w:tc>
          <w:tcPr>
            <w:tcW w:w="4826" w:type="dxa"/>
            <w:tcMar>
              <w:top w:w="60" w:type="dxa"/>
              <w:left w:w="120" w:type="dxa"/>
              <w:bottom w:w="30" w:type="dxa"/>
              <w:right w:w="120" w:type="dxa"/>
            </w:tcMar>
          </w:tcPr>
          <w:p w14:paraId="07C7378E">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_GB2312" w:hAnsi="仿宋_GB2312" w:eastAsia="仿宋_GB2312" w:cs="仿宋_GB2312"/>
                <w:sz w:val="32"/>
                <w:szCs w:val="32"/>
              </w:rPr>
            </w:pPr>
          </w:p>
        </w:tc>
      </w:tr>
    </w:tbl>
    <w:p w14:paraId="7D1AF8D8">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outlineLvl w:val="1"/>
        <w:rPr>
          <w:rFonts w:hint="eastAsia" w:ascii="楷体_GB2312" w:hAnsi="楷体_GB2312" w:eastAsia="楷体_GB2312" w:cs="楷体_GB2312"/>
          <w:b w:val="0"/>
          <w:bCs/>
          <w:sz w:val="32"/>
          <w:szCs w:val="32"/>
          <w:lang w:eastAsia="zh-CN"/>
        </w:rPr>
      </w:pPr>
      <w:r>
        <w:rPr>
          <w:rFonts w:hint="eastAsia" w:ascii="楷体_GB2312" w:hAnsi="楷体_GB2312" w:eastAsia="楷体_GB2312" w:cs="楷体_GB2312"/>
          <w:b w:val="0"/>
          <w:bCs/>
          <w:sz w:val="32"/>
          <w:szCs w:val="32"/>
          <w:lang w:eastAsia="zh-CN"/>
        </w:rPr>
        <w:t>（</w:t>
      </w:r>
      <w:r>
        <w:rPr>
          <w:rFonts w:hint="eastAsia" w:ascii="楷体_GB2312" w:hAnsi="楷体_GB2312" w:eastAsia="楷体_GB2312" w:cs="楷体_GB2312"/>
          <w:b w:val="0"/>
          <w:bCs/>
          <w:sz w:val="32"/>
          <w:szCs w:val="32"/>
          <w:lang w:val="en-US" w:eastAsia="zh-CN"/>
        </w:rPr>
        <w:t>四</w:t>
      </w:r>
      <w:r>
        <w:rPr>
          <w:rFonts w:hint="eastAsia" w:ascii="楷体_GB2312" w:hAnsi="楷体_GB2312" w:eastAsia="楷体_GB2312" w:cs="楷体_GB2312"/>
          <w:b w:val="0"/>
          <w:bCs/>
          <w:sz w:val="32"/>
          <w:szCs w:val="32"/>
          <w:lang w:eastAsia="zh-CN"/>
        </w:rPr>
        <w:t>）</w:t>
      </w:r>
      <w:r>
        <w:rPr>
          <w:rFonts w:hint="eastAsia" w:ascii="楷体_GB2312" w:hAnsi="楷体_GB2312" w:eastAsia="楷体_GB2312" w:cs="楷体_GB2312"/>
          <w:b w:val="0"/>
          <w:bCs/>
          <w:sz w:val="32"/>
          <w:szCs w:val="32"/>
          <w:lang w:val="en-US" w:eastAsia="zh-CN"/>
        </w:rPr>
        <w:t>价格</w:t>
      </w:r>
      <w:r>
        <w:rPr>
          <w:rFonts w:hint="eastAsia" w:ascii="楷体_GB2312" w:hAnsi="楷体_GB2312" w:eastAsia="楷体_GB2312" w:cs="楷体_GB2312"/>
          <w:b w:val="0"/>
          <w:bCs/>
          <w:sz w:val="32"/>
          <w:szCs w:val="32"/>
          <w:lang w:eastAsia="zh-CN"/>
        </w:rPr>
        <w:t>评审表</w:t>
      </w:r>
    </w:p>
    <w:tbl>
      <w:tblPr>
        <w:tblStyle w:val="3"/>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30"/>
        <w:gridCol w:w="1853"/>
        <w:gridCol w:w="1050"/>
        <w:gridCol w:w="4774"/>
      </w:tblGrid>
      <w:tr w14:paraId="0B32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shd w:val="clear" w:color="auto" w:fill="D7D7D7" w:themeFill="background1" w:themeFillShade="D8"/>
            <w:tcMar>
              <w:top w:w="60" w:type="dxa"/>
              <w:left w:w="120" w:type="dxa"/>
              <w:bottom w:w="30" w:type="dxa"/>
              <w:right w:w="120" w:type="dxa"/>
            </w:tcMar>
            <w:vAlign w:val="center"/>
          </w:tcPr>
          <w:p w14:paraId="3DF637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853" w:type="dxa"/>
            <w:shd w:val="clear" w:color="auto" w:fill="D7D7D7" w:themeFill="background1" w:themeFillShade="D8"/>
            <w:tcMar>
              <w:top w:w="60" w:type="dxa"/>
              <w:left w:w="120" w:type="dxa"/>
              <w:bottom w:w="30" w:type="dxa"/>
              <w:right w:w="120" w:type="dxa"/>
            </w:tcMar>
            <w:vAlign w:val="center"/>
          </w:tcPr>
          <w:p w14:paraId="78DDED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评审分项</w:t>
            </w:r>
          </w:p>
        </w:tc>
        <w:tc>
          <w:tcPr>
            <w:tcW w:w="1050" w:type="dxa"/>
            <w:shd w:val="clear" w:color="auto" w:fill="D7D7D7" w:themeFill="background1" w:themeFillShade="D8"/>
            <w:tcMar>
              <w:top w:w="60" w:type="dxa"/>
              <w:left w:w="120" w:type="dxa"/>
              <w:bottom w:w="30" w:type="dxa"/>
              <w:right w:w="120" w:type="dxa"/>
            </w:tcMar>
            <w:vAlign w:val="center"/>
          </w:tcPr>
          <w:p w14:paraId="5420761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最高分值</w:t>
            </w:r>
          </w:p>
        </w:tc>
        <w:tc>
          <w:tcPr>
            <w:tcW w:w="4774" w:type="dxa"/>
            <w:shd w:val="clear" w:color="auto" w:fill="D7D7D7" w:themeFill="background1" w:themeFillShade="D8"/>
            <w:tcMar>
              <w:top w:w="60" w:type="dxa"/>
              <w:left w:w="120" w:type="dxa"/>
              <w:bottom w:w="30" w:type="dxa"/>
              <w:right w:w="120" w:type="dxa"/>
            </w:tcMar>
            <w:vAlign w:val="center"/>
          </w:tcPr>
          <w:p w14:paraId="592AD6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评分标准</w:t>
            </w:r>
          </w:p>
        </w:tc>
      </w:tr>
      <w:tr w14:paraId="2A04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tcMar>
              <w:top w:w="60" w:type="dxa"/>
              <w:left w:w="120" w:type="dxa"/>
              <w:bottom w:w="30" w:type="dxa"/>
              <w:right w:w="120" w:type="dxa"/>
            </w:tcMar>
            <w:vAlign w:val="center"/>
          </w:tcPr>
          <w:p w14:paraId="618989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853" w:type="dxa"/>
            <w:tcMar>
              <w:top w:w="60" w:type="dxa"/>
              <w:left w:w="120" w:type="dxa"/>
              <w:bottom w:w="30" w:type="dxa"/>
              <w:right w:w="120" w:type="dxa"/>
            </w:tcMar>
            <w:vAlign w:val="center"/>
          </w:tcPr>
          <w:p w14:paraId="68EDBB5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价格</w:t>
            </w:r>
          </w:p>
        </w:tc>
        <w:tc>
          <w:tcPr>
            <w:tcW w:w="1050" w:type="dxa"/>
            <w:tcMar>
              <w:top w:w="60" w:type="dxa"/>
              <w:left w:w="120" w:type="dxa"/>
              <w:bottom w:w="30" w:type="dxa"/>
              <w:right w:w="120" w:type="dxa"/>
            </w:tcMar>
            <w:vAlign w:val="center"/>
          </w:tcPr>
          <w:p w14:paraId="7D61DE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w:t>
            </w:r>
          </w:p>
        </w:tc>
        <w:tc>
          <w:tcPr>
            <w:tcW w:w="4774" w:type="dxa"/>
            <w:tcMar>
              <w:top w:w="60" w:type="dxa"/>
              <w:left w:w="120" w:type="dxa"/>
              <w:bottom w:w="30" w:type="dxa"/>
              <w:right w:w="120" w:type="dxa"/>
            </w:tcMar>
          </w:tcPr>
          <w:p w14:paraId="42EC404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得分＝（基准价/投标报价）×价格分值【注：满足采购文件要求且最后投标价格最低的投标报价为基准价。】最低报价不是成交的唯一依据。因落实政府采购政策进行价格调整的，以调整后的价格计算基准价和投标报价。</w:t>
            </w:r>
          </w:p>
        </w:tc>
      </w:tr>
      <w:tr w14:paraId="4ADA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0" w:type="dxa"/>
            <w:shd w:val="clear" w:color="auto" w:fill="auto"/>
            <w:tcMar>
              <w:top w:w="60" w:type="dxa"/>
              <w:left w:w="120" w:type="dxa"/>
              <w:bottom w:w="30" w:type="dxa"/>
              <w:right w:w="120" w:type="dxa"/>
            </w:tcMar>
            <w:vAlign w:val="top"/>
          </w:tcPr>
          <w:p w14:paraId="581DB0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合计</w:t>
            </w:r>
          </w:p>
        </w:tc>
        <w:tc>
          <w:tcPr>
            <w:tcW w:w="1853" w:type="dxa"/>
            <w:shd w:val="clear" w:color="auto" w:fill="auto"/>
            <w:tcMar>
              <w:top w:w="60" w:type="dxa"/>
              <w:left w:w="120" w:type="dxa"/>
              <w:bottom w:w="30" w:type="dxa"/>
              <w:right w:w="120" w:type="dxa"/>
            </w:tcMar>
            <w:vAlign w:val="top"/>
          </w:tcPr>
          <w:p w14:paraId="680E1D98">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rPr>
            </w:pPr>
          </w:p>
        </w:tc>
        <w:tc>
          <w:tcPr>
            <w:tcW w:w="1050" w:type="dxa"/>
            <w:shd w:val="clear" w:color="auto" w:fill="auto"/>
            <w:tcMar>
              <w:top w:w="60" w:type="dxa"/>
              <w:left w:w="120" w:type="dxa"/>
              <w:bottom w:w="30" w:type="dxa"/>
              <w:right w:w="120" w:type="dxa"/>
            </w:tcMar>
            <w:vAlign w:val="top"/>
          </w:tcPr>
          <w:p w14:paraId="0DCCAAB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lang w:val="en-US" w:eastAsia="zh-CN"/>
              </w:rPr>
              <w:t>15</w:t>
            </w:r>
            <w:r>
              <w:rPr>
                <w:rFonts w:hint="eastAsia" w:ascii="仿宋_GB2312" w:hAnsi="仿宋_GB2312" w:eastAsia="仿宋_GB2312" w:cs="仿宋_GB2312"/>
                <w:b/>
                <w:sz w:val="28"/>
                <w:szCs w:val="28"/>
              </w:rPr>
              <w:t>分</w:t>
            </w:r>
          </w:p>
        </w:tc>
        <w:tc>
          <w:tcPr>
            <w:tcW w:w="4774" w:type="dxa"/>
            <w:tcMar>
              <w:top w:w="60" w:type="dxa"/>
              <w:left w:w="120" w:type="dxa"/>
              <w:bottom w:w="30" w:type="dxa"/>
              <w:right w:w="120" w:type="dxa"/>
            </w:tcMar>
          </w:tcPr>
          <w:p w14:paraId="36770145">
            <w:pPr>
              <w:keepNext w:val="0"/>
              <w:keepLines w:val="0"/>
              <w:pageBreakBefore w:val="0"/>
              <w:widowControl w:val="0"/>
              <w:kinsoku/>
              <w:wordWrap/>
              <w:overflowPunct/>
              <w:topLinePunct w:val="0"/>
              <w:autoSpaceDE/>
              <w:autoSpaceDN/>
              <w:bidi w:val="0"/>
              <w:adjustRightInd/>
              <w:snapToGrid/>
              <w:spacing w:line="240" w:lineRule="auto"/>
              <w:ind w:left="0" w:firstLine="560" w:firstLineChars="200"/>
              <w:jc w:val="left"/>
              <w:textAlignment w:val="auto"/>
              <w:rPr>
                <w:rFonts w:hint="eastAsia" w:ascii="仿宋_GB2312" w:hAnsi="仿宋_GB2312" w:eastAsia="仿宋_GB2312" w:cs="仿宋_GB2312"/>
                <w:sz w:val="28"/>
                <w:szCs w:val="28"/>
              </w:rPr>
            </w:pPr>
          </w:p>
        </w:tc>
      </w:tr>
    </w:tbl>
    <w:p w14:paraId="4D53EE0E">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备注：需提供佐证材料，否则</w:t>
      </w:r>
      <w:r>
        <w:rPr>
          <w:rFonts w:hint="eastAsia" w:ascii="仿宋_GB2312" w:hAnsi="仿宋_GB2312" w:eastAsia="仿宋_GB2312" w:cs="仿宋_GB2312"/>
          <w:sz w:val="32"/>
          <w:szCs w:val="32"/>
          <w:lang w:val="en-US" w:eastAsia="zh-CN"/>
        </w:rPr>
        <w:t>所属</w:t>
      </w:r>
      <w:r>
        <w:rPr>
          <w:rFonts w:hint="eastAsia" w:ascii="仿宋_GB2312" w:hAnsi="仿宋_GB2312" w:eastAsia="仿宋_GB2312" w:cs="仿宋_GB2312"/>
          <w:sz w:val="32"/>
          <w:szCs w:val="32"/>
        </w:rPr>
        <w:t>项计0分，得分保留两位小数。</w:t>
      </w:r>
    </w:p>
    <w:p w14:paraId="716B1FBC">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left"/>
        <w:textAlignment w:val="auto"/>
        <w:rPr>
          <w:rFonts w:hint="eastAsia" w:ascii="仿宋_GB2312" w:hAnsi="仿宋_GB2312" w:eastAsia="仿宋_GB2312" w:cs="仿宋_GB2312"/>
          <w:sz w:val="32"/>
          <w:szCs w:val="32"/>
        </w:rPr>
      </w:pPr>
    </w:p>
    <w:p w14:paraId="282B758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outlineLvl w:val="1"/>
        <w:rPr>
          <w:rFonts w:hint="eastAsia" w:ascii="黑体" w:hAnsi="黑体" w:eastAsia="黑体" w:cs="黑体"/>
          <w:b w:val="0"/>
          <w:bCs/>
          <w:sz w:val="32"/>
          <w:szCs w:val="32"/>
        </w:rPr>
      </w:pPr>
    </w:p>
    <w:bookmarkEnd w:id="11"/>
    <w:p w14:paraId="176A5810">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仿宋_GB2312" w:hAnsi="仿宋_GB2312" w:eastAsia="仿宋_GB2312" w:cs="仿宋_GB2312"/>
          <w:sz w:val="32"/>
          <w:szCs w:val="32"/>
        </w:rPr>
      </w:pPr>
    </w:p>
    <w:sectPr>
      <w:headerReference r:id="rId5" w:type="default"/>
      <w:footerReference r:id="rId6" w:type="default"/>
      <w:pgSz w:w="11905" w:h="1684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CESI仿宋-GB2312">
    <w:panose1 w:val="02000500000000000000"/>
    <w:charset w:val="86"/>
    <w:family w:val="auto"/>
    <w:pitch w:val="default"/>
    <w:sig w:usb0="800002AF" w:usb1="084F6CF8" w:usb2="00000010" w:usb3="00000000" w:csb0="0004000F" w:csb1="00000000"/>
  </w:font>
  <w:font w:name="方正小标宋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00"/>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国标小标宋-GB/T 2312">
    <w:altName w:val="方正小标宋简体"/>
    <w:panose1 w:val="02000500000000000000"/>
    <w:charset w:val="00"/>
    <w:family w:val="auto"/>
    <w:pitch w:val="default"/>
    <w:sig w:usb0="00000000" w:usb1="0000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ntarell">
    <w:panose1 w:val="00000000000000000000"/>
    <w:charset w:val="00"/>
    <w:family w:val="auto"/>
    <w:pitch w:val="default"/>
    <w:sig w:usb0="A00002FF" w:usb1="4000217B" w:usb2="00000000" w:usb3="00000000" w:csb0="20000197"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769E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20"/>
      </w:pPr>
      <w:r>
        <w:separator/>
      </w:r>
    </w:p>
  </w:footnote>
  <w:footnote w:type="continuationSeparator" w:id="1">
    <w:p>
      <w:pPr>
        <w:spacing w:line="288"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75D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99"/>
  <w:footnotePr>
    <w:footnote w:id="0"/>
    <w:footnote w:id="1"/>
  </w:footnotePr>
  <w:endnotePr>
    <w:endnote w:id="0"/>
    <w:endnote w:id="1"/>
  </w:endnotePr>
  <w:compat>
    <w:useFELayout/>
    <w:splitPgBreakAndParaMark/>
    <w:compatSetting w:name="compatibilityMode" w:uri="http://schemas.microsoft.com/office/word" w:val="12"/>
  </w:compat>
  <w:rsids>
    <w:rsidRoot w:val="00000000"/>
    <w:rsid w:val="03007BCF"/>
    <w:rsid w:val="102A0338"/>
    <w:rsid w:val="182A7068"/>
    <w:rsid w:val="18CC26F1"/>
    <w:rsid w:val="266B2765"/>
    <w:rsid w:val="2DA31939"/>
    <w:rsid w:val="2EFE2352"/>
    <w:rsid w:val="338640D4"/>
    <w:rsid w:val="3AD723B7"/>
    <w:rsid w:val="3FFD9849"/>
    <w:rsid w:val="40E31CB3"/>
    <w:rsid w:val="4BAD5ACA"/>
    <w:rsid w:val="4FDF4B37"/>
    <w:rsid w:val="535E475A"/>
    <w:rsid w:val="56BE4B2B"/>
    <w:rsid w:val="59716AD3"/>
    <w:rsid w:val="5B504639"/>
    <w:rsid w:val="5D7D1A33"/>
    <w:rsid w:val="5FDE1824"/>
    <w:rsid w:val="67A6B594"/>
    <w:rsid w:val="67BF830A"/>
    <w:rsid w:val="68D81DB0"/>
    <w:rsid w:val="6BA94E4E"/>
    <w:rsid w:val="6E7D6021"/>
    <w:rsid w:val="6EDC7414"/>
    <w:rsid w:val="79E42C1B"/>
    <w:rsid w:val="7CFF33B4"/>
    <w:rsid w:val="7D6E26DC"/>
    <w:rsid w:val="7FBF3E8D"/>
    <w:rsid w:val="86DE5064"/>
    <w:rsid w:val="A74AA2C4"/>
    <w:rsid w:val="CEDFF10F"/>
    <w:rsid w:val="FBD39FC8"/>
    <w:rsid w:val="FFE6B2CE"/>
    <w:rsid w:val="FFF728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bidi w:val="0"/>
      <w:spacing w:line="288" w:lineRule="auto"/>
      <w:ind w:leftChars="0" w:firstLine="720" w:firstLineChars="200"/>
      <w:jc w:val="both"/>
    </w:pPr>
    <w:rPr>
      <w:rFonts w:asciiTheme="minorHAnsi" w:hAnsiTheme="minorHAnsi" w:eastAsiaTheme="minorEastAsia" w:cstheme="minorBidi"/>
      <w:sz w:val="21"/>
      <w:szCs w:val="22"/>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2991</Words>
  <Characters>3065</Characters>
  <TotalTime>8</TotalTime>
  <ScaleCrop>false</ScaleCrop>
  <LinksUpToDate>false</LinksUpToDate>
  <CharactersWithSpaces>3067</CharactersWithSpaces>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2026-10-23T11:17:00Z</dcterms:created>
  <dc:creator>Apache POI</dc:creator>
  <cp:lastModifiedBy>kylin</cp:lastModifiedBy>
  <dcterms:modified xsi:type="dcterms:W3CDTF">2026-10-26T16:24:00Z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{"Label":"1","ContentProducer":"001191110102MACQD9K64010000","ProduceID":"7699697259499768762","ReservedCode1":"","ContentPropagator":"","PropagateID":"","ReservedCode2":""}</vt:lpwstr>
  </property>
  <property fmtid="{D5CDD505-2E9C-101B-9397-08002B2CF9AE}" pid="3" name="KSOTemplateDocerSaveRecord">
    <vt:lpwstr>eyJoZGlkIjoiMzdhMjdlYWVhNzdiZjhiYzQ3MDFmZTU5M2U0NGVjYTMiLCJ1c2VySWQiOiI0MzIwMTQ3MTUifQ==</vt:lpwstr>
  </property>
  <property fmtid="{D5CDD505-2E9C-101B-9397-08002B2CF9AE}" pid="4" name="KSOProductBuildVer">
    <vt:lpwstr>2052-12.1.2.22550</vt:lpwstr>
  </property>
  <property fmtid="{D5CDD505-2E9C-101B-9397-08002B2CF9AE}" pid="5" name="ICV">
    <vt:lpwstr>5CCF2E4EBF294030B0A01E7C1AEB19D6_12</vt:lpwstr>
  </property>
</Properties>
</file>