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sz w:val="32"/>
          <w:szCs w:val="32"/>
        </w:rPr>
      </w:pPr>
      <w:bookmarkStart w:id="1" w:name="_GoBack"/>
      <w:bookmarkEnd w:id="1"/>
      <w:r>
        <w:rPr>
          <w:rFonts w:hint="eastAsia" w:ascii="黑体" w:hAnsi="黑体" w:eastAsia="黑体" w:cs="黑体"/>
          <w:sz w:val="32"/>
          <w:szCs w:val="32"/>
        </w:rPr>
        <w:t>附件</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综合评分表</w:t>
      </w:r>
    </w:p>
    <w:tbl>
      <w:tblPr>
        <w:tblStyle w:val="6"/>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2"/>
        <w:gridCol w:w="726"/>
        <w:gridCol w:w="1515"/>
        <w:gridCol w:w="728"/>
        <w:gridCol w:w="5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62"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序号</w:t>
            </w:r>
          </w:p>
        </w:tc>
        <w:tc>
          <w:tcPr>
            <w:tcW w:w="296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评分项</w:t>
            </w:r>
          </w:p>
        </w:tc>
        <w:tc>
          <w:tcPr>
            <w:tcW w:w="508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 w:hRule="atLeast"/>
        </w:trPr>
        <w:tc>
          <w:tcPr>
            <w:tcW w:w="462"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1</w:t>
            </w:r>
          </w:p>
        </w:tc>
        <w:tc>
          <w:tcPr>
            <w:tcW w:w="296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价格</w:t>
            </w:r>
          </w:p>
        </w:tc>
        <w:tc>
          <w:tcPr>
            <w:tcW w:w="5088" w:type="dxa"/>
            <w:tcBorders>
              <w:top w:val="single" w:color="auto" w:sz="4" w:space="0"/>
              <w:left w:val="single" w:color="auto" w:sz="4" w:space="0"/>
              <w:bottom w:val="single" w:color="auto" w:sz="4" w:space="0"/>
              <w:right w:val="single" w:color="auto" w:sz="4" w:space="0"/>
            </w:tcBorders>
          </w:tcPr>
          <w:p>
            <w:pPr>
              <w:jc w:val="center"/>
              <w:rPr>
                <w:rFonts w:asciiTheme="minorEastAsia" w:hAnsiTheme="minorEastAsia" w:cstheme="minorEastAsia"/>
                <w:b/>
                <w:bCs/>
              </w:rPr>
            </w:pPr>
            <w:r>
              <w:rPr>
                <w:rFonts w:hint="eastAsia" w:asciiTheme="minorEastAsia" w:hAnsiTheme="minorEastAsia" w:cstheme="minorEastAsia"/>
                <w:b/>
                <w:bCs/>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62"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p>
        </w:tc>
        <w:tc>
          <w:tcPr>
            <w:tcW w:w="296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p>
        </w:tc>
        <w:tc>
          <w:tcPr>
            <w:tcW w:w="5088" w:type="dxa"/>
            <w:tcBorders>
              <w:top w:val="single" w:color="auto" w:sz="4" w:space="0"/>
              <w:left w:val="single" w:color="auto" w:sz="4" w:space="0"/>
              <w:bottom w:val="single" w:color="auto" w:sz="4" w:space="0"/>
              <w:right w:val="single" w:color="auto" w:sz="4" w:space="0"/>
            </w:tcBorders>
          </w:tcPr>
          <w:p>
            <w:pPr>
              <w:rPr>
                <w:rFonts w:hint="eastAsia"/>
              </w:rPr>
            </w:pPr>
            <w:r>
              <w:rPr>
                <w:rFonts w:hint="eastAsia"/>
              </w:rPr>
              <w:t>价格分计算方法：</w:t>
            </w:r>
          </w:p>
          <w:p>
            <w:pPr>
              <w:ind w:firstLine="420" w:firstLineChars="200"/>
              <w:rPr>
                <w:rFonts w:hint="eastAsia"/>
              </w:rPr>
            </w:pPr>
            <w:r>
              <w:rPr>
                <w:rFonts w:hint="eastAsia"/>
              </w:rPr>
              <w:t>价格分统一采用低价优先法计算，各有效供应商的评审价中，取最低价为评审基准价，其价格分为满分。其他供应商的价格分统一按照下列公式计算：</w:t>
            </w:r>
          </w:p>
          <w:p>
            <w:pPr>
              <w:rPr>
                <w:rFonts w:asciiTheme="minorEastAsia" w:hAnsiTheme="minorEastAsia" w:cstheme="minorEastAsia"/>
                <w:szCs w:val="21"/>
              </w:rPr>
            </w:pPr>
            <w:r>
              <w:rPr>
                <w:rFonts w:hint="eastAsia"/>
              </w:rPr>
              <w:t>价格评分=（评审基准价/评标价）×价格权重分（20分）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 w:hRule="atLeast"/>
        </w:trPr>
        <w:tc>
          <w:tcPr>
            <w:tcW w:w="462"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2</w:t>
            </w:r>
          </w:p>
        </w:tc>
        <w:tc>
          <w:tcPr>
            <w:tcW w:w="296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技术</w:t>
            </w:r>
          </w:p>
        </w:tc>
        <w:tc>
          <w:tcPr>
            <w:tcW w:w="508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b/>
                <w:bCs/>
                <w:szCs w:val="21"/>
                <w:lang w:val="en-US" w:eastAsia="zh-CN"/>
              </w:rPr>
            </w:pPr>
            <w:r>
              <w:rPr>
                <w:rFonts w:hint="eastAsia" w:asciiTheme="minorEastAsia" w:hAnsiTheme="minorEastAsia" w:cstheme="minorEastAsia"/>
                <w:b/>
                <w:bCs/>
                <w:szCs w:val="21"/>
              </w:rPr>
              <w:t>4</w:t>
            </w:r>
            <w:r>
              <w:rPr>
                <w:rFonts w:hint="eastAsia" w:asciiTheme="minorEastAsia" w:hAnsiTheme="minorEastAsia" w:cstheme="minorEastAsia"/>
                <w:b/>
                <w:bCs/>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 w:hRule="atLeast"/>
        </w:trPr>
        <w:tc>
          <w:tcPr>
            <w:tcW w:w="462" w:type="dxa"/>
            <w:vMerge w:val="restart"/>
            <w:tcBorders>
              <w:top w:val="single" w:color="auto" w:sz="4" w:space="0"/>
              <w:left w:val="single" w:color="auto" w:sz="4" w:space="0"/>
              <w:right w:val="single" w:color="auto" w:sz="4" w:space="0"/>
            </w:tcBorders>
          </w:tcPr>
          <w:p>
            <w:pPr>
              <w:jc w:val="center"/>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序号</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内容</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权重</w:t>
            </w:r>
          </w:p>
        </w:tc>
        <w:tc>
          <w:tcPr>
            <w:tcW w:w="5088" w:type="dxa"/>
            <w:tcBorders>
              <w:top w:val="single" w:color="auto" w:sz="4" w:space="0"/>
              <w:left w:val="single" w:color="auto" w:sz="4" w:space="0"/>
              <w:bottom w:val="single" w:color="auto" w:sz="4" w:space="0"/>
              <w:right w:val="single" w:color="auto" w:sz="4" w:space="0"/>
            </w:tcBorders>
          </w:tcPr>
          <w:p>
            <w:pPr>
              <w:jc w:val="center"/>
              <w:rPr>
                <w:rFonts w:asciiTheme="minorEastAsia" w:hAnsiTheme="minorEastAsia" w:cstheme="minorEastAsia"/>
                <w:szCs w:val="21"/>
              </w:rPr>
            </w:pPr>
            <w:r>
              <w:rPr>
                <w:rFonts w:hint="eastAsia" w:asciiTheme="minorEastAsia" w:hAnsiTheme="minorEastAsia" w:cstheme="minorEastAsia"/>
                <w:szCs w:val="21"/>
              </w:rPr>
              <w:t>评分准则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462" w:type="dxa"/>
            <w:vMerge w:val="continue"/>
            <w:tcBorders>
              <w:left w:val="single" w:color="auto" w:sz="4" w:space="0"/>
              <w:right w:val="single" w:color="auto" w:sz="4" w:space="0"/>
            </w:tcBorders>
            <w:vAlign w:val="center"/>
          </w:tcPr>
          <w:p>
            <w:pPr>
              <w:widowControl/>
              <w:jc w:val="left"/>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①</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项目策划与实施方案</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heme="minorEastAsia" w:hAnsiTheme="minorEastAsia" w:cstheme="minorEastAsia"/>
                <w:szCs w:val="21"/>
                <w:lang w:val="en-US"/>
              </w:rPr>
            </w:pPr>
            <w:r>
              <w:rPr>
                <w:rFonts w:hint="eastAsia" w:asciiTheme="minorEastAsia" w:hAnsiTheme="minorEastAsia" w:cstheme="minorEastAsia"/>
                <w:szCs w:val="21"/>
                <w:lang w:val="en-US" w:eastAsia="zh-CN"/>
              </w:rPr>
              <w:t>18</w:t>
            </w:r>
          </w:p>
        </w:tc>
        <w:tc>
          <w:tcPr>
            <w:tcW w:w="5088" w:type="dxa"/>
            <w:tcBorders>
              <w:top w:val="single" w:color="auto" w:sz="4" w:space="0"/>
              <w:left w:val="single" w:color="auto" w:sz="4" w:space="0"/>
              <w:bottom w:val="single" w:color="auto" w:sz="4" w:space="0"/>
              <w:right w:val="single" w:color="auto" w:sz="4" w:space="0"/>
            </w:tcBorders>
          </w:tcPr>
          <w:p>
            <w:pPr>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针对本项目的实施方案完整、方法合理、可行性强等情况进行横向对比：</w:t>
            </w:r>
          </w:p>
          <w:p>
            <w:pPr>
              <w:ind w:firstLine="420" w:firstLineChars="200"/>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lang w:val="en-US" w:eastAsia="zh-CN"/>
              </w:rPr>
              <w:t>综合评价优秀：实施方案完全满足项目需要，完整详细，科学合理，亮点多，可行性强，项目负责人等明确，得1</w:t>
            </w:r>
            <w:r>
              <w:rPr>
                <w:rFonts w:hint="eastAsia" w:asciiTheme="minorEastAsia" w:hAnsiTheme="minorEastAsia" w:cstheme="minorEastAsia"/>
                <w:sz w:val="21"/>
                <w:szCs w:val="21"/>
                <w:lang w:val="en-US" w:eastAsia="zh-CN"/>
              </w:rPr>
              <w:t>3</w:t>
            </w: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cstheme="minorEastAsia"/>
                <w:sz w:val="21"/>
                <w:szCs w:val="21"/>
                <w:lang w:val="en-US" w:eastAsia="zh-CN"/>
              </w:rPr>
              <w:t>8</w:t>
            </w:r>
            <w:r>
              <w:rPr>
                <w:rFonts w:hint="eastAsia" w:asciiTheme="minorEastAsia" w:hAnsiTheme="minorEastAsia" w:eastAsiaTheme="minorEastAsia" w:cstheme="minorEastAsia"/>
                <w:sz w:val="21"/>
                <w:szCs w:val="21"/>
                <w:lang w:val="en-US" w:eastAsia="zh-CN"/>
              </w:rPr>
              <w:t>分；</w:t>
            </w:r>
          </w:p>
          <w:p>
            <w:pPr>
              <w:ind w:firstLine="420" w:firstLineChars="200"/>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lang w:val="en-US" w:eastAsia="zh-CN"/>
              </w:rPr>
              <w:t>综合评价良好：实施方案基本满足项目要求，架构基本完整，有一定的合理性，基本可行，得</w:t>
            </w:r>
            <w:r>
              <w:rPr>
                <w:rFonts w:hint="eastAsia" w:asciiTheme="minorEastAsia" w:hAnsiTheme="minorEastAsia" w:cstheme="minorEastAsia"/>
                <w:sz w:val="21"/>
                <w:szCs w:val="21"/>
                <w:lang w:val="en-US" w:eastAsia="zh-CN"/>
              </w:rPr>
              <w:t>7</w:t>
            </w: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cstheme="minorEastAsia"/>
                <w:sz w:val="21"/>
                <w:szCs w:val="21"/>
                <w:lang w:val="en-US" w:eastAsia="zh-CN"/>
              </w:rPr>
              <w:t>2</w:t>
            </w:r>
            <w:r>
              <w:rPr>
                <w:rFonts w:hint="eastAsia" w:asciiTheme="minorEastAsia" w:hAnsiTheme="minorEastAsia" w:eastAsiaTheme="minorEastAsia" w:cstheme="minorEastAsia"/>
                <w:sz w:val="21"/>
                <w:szCs w:val="21"/>
                <w:lang w:val="en-US" w:eastAsia="zh-CN"/>
              </w:rPr>
              <w:t>分；</w:t>
            </w:r>
          </w:p>
          <w:p>
            <w:pPr>
              <w:ind w:firstLine="420" w:firstLineChars="200"/>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lang w:val="en-US" w:eastAsia="zh-CN"/>
              </w:rPr>
              <w:t>综合评价较一般：实施方案简单，内容针对性不强，得1-</w:t>
            </w:r>
            <w:r>
              <w:rPr>
                <w:rFonts w:hint="eastAsia" w:asciiTheme="minorEastAsia" w:hAnsiTheme="minorEastAsia" w:cstheme="minorEastAsia"/>
                <w:sz w:val="21"/>
                <w:szCs w:val="21"/>
                <w:lang w:val="en-US" w:eastAsia="zh-CN"/>
              </w:rPr>
              <w:t>6</w:t>
            </w:r>
            <w:r>
              <w:rPr>
                <w:rFonts w:hint="eastAsia" w:asciiTheme="minorEastAsia" w:hAnsiTheme="minorEastAsia" w:eastAsiaTheme="minorEastAsia" w:cstheme="minorEastAsia"/>
                <w:sz w:val="21"/>
                <w:szCs w:val="21"/>
                <w:lang w:val="en-US" w:eastAsia="zh-CN"/>
              </w:rPr>
              <w:t>分：</w:t>
            </w:r>
          </w:p>
          <w:p>
            <w:pPr>
              <w:ind w:firstLine="420" w:firstLineChars="200"/>
              <w:jc w:val="left"/>
              <w:rPr>
                <w:rFonts w:hint="eastAsia" w:asciiTheme="minorEastAsia" w:hAnsiTheme="minorEastAsia" w:cstheme="minorEastAsia"/>
                <w:b w:val="0"/>
                <w:i w:val="0"/>
                <w:szCs w:val="21"/>
                <w:u w:val="none"/>
              </w:rPr>
            </w:pP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lang w:val="en-US" w:eastAsia="zh-CN"/>
              </w:rPr>
              <w:t>不提供方案者，不得分。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4" w:hRule="atLeast"/>
        </w:trPr>
        <w:tc>
          <w:tcPr>
            <w:tcW w:w="462" w:type="dxa"/>
            <w:vMerge w:val="continue"/>
            <w:tcBorders>
              <w:left w:val="single" w:color="auto" w:sz="4" w:space="0"/>
              <w:right w:val="single" w:color="auto" w:sz="4" w:space="0"/>
            </w:tcBorders>
            <w:vAlign w:val="center"/>
          </w:tcPr>
          <w:p>
            <w:pPr>
              <w:widowControl/>
              <w:jc w:val="left"/>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lang w:val="en-US" w:eastAsia="zh-CN"/>
              </w:rPr>
              <w:t>②</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出版进度</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heme="minorEastAsia" w:hAnsiTheme="minorEastAsia" w:cstheme="minorEastAsia"/>
                <w:szCs w:val="21"/>
                <w:lang w:val="en-US"/>
              </w:rPr>
            </w:pPr>
            <w:r>
              <w:rPr>
                <w:rFonts w:hint="eastAsia" w:asciiTheme="minorEastAsia" w:hAnsiTheme="minorEastAsia" w:cstheme="minorEastAsia"/>
                <w:szCs w:val="21"/>
                <w:lang w:val="en-US" w:eastAsia="zh-CN"/>
              </w:rPr>
              <w:t>17</w:t>
            </w:r>
          </w:p>
        </w:tc>
        <w:tc>
          <w:tcPr>
            <w:tcW w:w="5088" w:type="dxa"/>
            <w:tcBorders>
              <w:top w:val="single" w:color="auto" w:sz="4" w:space="0"/>
              <w:left w:val="single" w:color="auto" w:sz="4" w:space="0"/>
              <w:bottom w:val="single" w:color="auto" w:sz="4" w:space="0"/>
              <w:right w:val="single" w:color="auto" w:sz="4" w:space="0"/>
            </w:tcBorders>
          </w:tcPr>
          <w:p>
            <w:pPr>
              <w:rPr>
                <w:rFonts w:hint="eastAsia" w:asciiTheme="minorEastAsia" w:hAnsiTheme="minorEastAsia" w:cstheme="minorEastAsia"/>
                <w:szCs w:val="21"/>
              </w:rPr>
            </w:pPr>
            <w:r>
              <w:rPr>
                <w:rFonts w:hint="eastAsia" w:asciiTheme="minorEastAsia" w:hAnsiTheme="minorEastAsia" w:cstheme="minorEastAsia"/>
                <w:szCs w:val="21"/>
              </w:rPr>
              <w:t>根据竞价单位对本项目提出的工作时间与进度计划（包括但不限于关键节点完成时间、进度保障措施等）进行评审：</w:t>
            </w:r>
          </w:p>
          <w:p>
            <w:pPr>
              <w:ind w:firstLine="420" w:firstLineChars="200"/>
              <w:rPr>
                <w:rFonts w:hint="eastAsia" w:asciiTheme="minorEastAsia" w:hAnsiTheme="minorEastAsia" w:cstheme="minorEastAsia"/>
                <w:szCs w:val="21"/>
              </w:rPr>
            </w:pPr>
            <w:r>
              <w:rPr>
                <w:rFonts w:hint="eastAsia" w:asciiTheme="minorEastAsia" w:hAnsiTheme="minorEastAsia" w:cstheme="minorEastAsia"/>
                <w:szCs w:val="21"/>
              </w:rPr>
              <w:t>1.</w:t>
            </w:r>
            <w:r>
              <w:rPr>
                <w:rFonts w:hint="eastAsia" w:asciiTheme="minorEastAsia" w:hAnsiTheme="minorEastAsia" w:cstheme="minorEastAsia"/>
                <w:szCs w:val="21"/>
                <w:lang w:val="en-US" w:eastAsia="zh-CN"/>
              </w:rPr>
              <w:t xml:space="preserve"> </w:t>
            </w:r>
            <w:r>
              <w:rPr>
                <w:rFonts w:hint="eastAsia" w:asciiTheme="minorEastAsia" w:hAnsiTheme="minorEastAsia" w:cstheme="minorEastAsia"/>
                <w:szCs w:val="21"/>
              </w:rPr>
              <w:t>进度安排合理有效，实施计划性强，时间点控制明确，可行性、可操作性强，得</w:t>
            </w:r>
            <w:r>
              <w:rPr>
                <w:rFonts w:hint="eastAsia" w:asciiTheme="minorEastAsia" w:hAnsiTheme="minorEastAsia" w:cstheme="minorEastAsia"/>
                <w:szCs w:val="21"/>
                <w:lang w:val="en-US" w:eastAsia="zh-CN"/>
              </w:rPr>
              <w:t>12-17</w:t>
            </w:r>
            <w:r>
              <w:rPr>
                <w:rFonts w:hint="eastAsia" w:asciiTheme="minorEastAsia" w:hAnsiTheme="minorEastAsia" w:cstheme="minorEastAsia"/>
                <w:szCs w:val="21"/>
              </w:rPr>
              <w:t>分；</w:t>
            </w:r>
          </w:p>
          <w:p>
            <w:pPr>
              <w:ind w:firstLine="420" w:firstLineChars="200"/>
              <w:rPr>
                <w:rFonts w:hint="eastAsia" w:asciiTheme="minorEastAsia" w:hAnsiTheme="minorEastAsia" w:cstheme="minorEastAsia"/>
                <w:szCs w:val="21"/>
              </w:rPr>
            </w:pPr>
            <w:r>
              <w:rPr>
                <w:rFonts w:hint="eastAsia" w:asciiTheme="minorEastAsia" w:hAnsiTheme="minorEastAsia" w:cstheme="minorEastAsia"/>
                <w:szCs w:val="21"/>
              </w:rPr>
              <w:t>2. 进度安排较为合理，实施计划性较强，时间点控制较为明确，可行性、可操作性较强，得</w:t>
            </w:r>
            <w:r>
              <w:rPr>
                <w:rFonts w:hint="eastAsia" w:asciiTheme="minorEastAsia" w:hAnsiTheme="minorEastAsia" w:cstheme="minorEastAsia"/>
                <w:szCs w:val="21"/>
                <w:lang w:val="en-US" w:eastAsia="zh-CN"/>
              </w:rPr>
              <w:t>6-11</w:t>
            </w:r>
            <w:r>
              <w:rPr>
                <w:rFonts w:hint="eastAsia" w:asciiTheme="minorEastAsia" w:hAnsiTheme="minorEastAsia" w:cstheme="minorEastAsia"/>
                <w:szCs w:val="21"/>
              </w:rPr>
              <w:t>分；</w:t>
            </w:r>
          </w:p>
          <w:p>
            <w:pPr>
              <w:ind w:firstLine="420" w:firstLineChars="200"/>
              <w:rPr>
                <w:rFonts w:hint="eastAsia" w:asciiTheme="minorEastAsia" w:hAnsiTheme="minorEastAsia" w:cstheme="minorEastAsia"/>
                <w:szCs w:val="21"/>
              </w:rPr>
            </w:pPr>
            <w:r>
              <w:rPr>
                <w:rFonts w:hint="eastAsia" w:asciiTheme="minorEastAsia" w:hAnsiTheme="minorEastAsia" w:cstheme="minorEastAsia"/>
                <w:szCs w:val="21"/>
              </w:rPr>
              <w:t>3. 进度安排一般，实施计划性一般，时间点控制一般，可行性、可操作性一般，得</w:t>
            </w:r>
            <w:r>
              <w:rPr>
                <w:rFonts w:hint="eastAsia" w:asciiTheme="minorEastAsia" w:hAnsiTheme="minorEastAsia" w:cstheme="minorEastAsia"/>
                <w:szCs w:val="21"/>
                <w:lang w:val="en-US" w:eastAsia="zh-CN"/>
              </w:rPr>
              <w:t>1-5</w:t>
            </w:r>
            <w:r>
              <w:rPr>
                <w:rFonts w:hint="eastAsia" w:asciiTheme="minorEastAsia" w:hAnsiTheme="minorEastAsia" w:cstheme="minorEastAsia"/>
                <w:szCs w:val="21"/>
              </w:rPr>
              <w:t>分；</w:t>
            </w:r>
          </w:p>
          <w:p>
            <w:pPr>
              <w:ind w:firstLine="420" w:firstLineChars="200"/>
              <w:rPr>
                <w:rFonts w:asciiTheme="minorEastAsia" w:hAnsiTheme="minorEastAsia" w:cstheme="minorEastAsia"/>
              </w:rPr>
            </w:pPr>
            <w:r>
              <w:rPr>
                <w:rFonts w:hint="eastAsia" w:asciiTheme="minorEastAsia" w:hAnsiTheme="minorEastAsia" w:cstheme="minorEastAsia"/>
                <w:szCs w:val="21"/>
              </w:rPr>
              <w:t>4. 不提供方案者，不得分。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4" w:hRule="atLeast"/>
        </w:trPr>
        <w:tc>
          <w:tcPr>
            <w:tcW w:w="462" w:type="dxa"/>
            <w:vMerge w:val="continue"/>
            <w:tcBorders>
              <w:left w:val="single" w:color="auto" w:sz="4" w:space="0"/>
              <w:right w:val="single" w:color="auto" w:sz="4" w:space="0"/>
            </w:tcBorders>
            <w:vAlign w:val="center"/>
          </w:tcPr>
          <w:p>
            <w:pPr>
              <w:widowControl/>
              <w:jc w:val="left"/>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③</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质控措施</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lang w:val="en-US" w:eastAsia="zh-CN"/>
              </w:rPr>
              <w:t>10</w:t>
            </w:r>
          </w:p>
        </w:tc>
        <w:tc>
          <w:tcPr>
            <w:tcW w:w="5088" w:type="dxa"/>
            <w:tcBorders>
              <w:top w:val="single" w:color="auto" w:sz="4" w:space="0"/>
              <w:left w:val="single" w:color="auto" w:sz="4" w:space="0"/>
              <w:bottom w:val="single" w:color="auto" w:sz="4" w:space="0"/>
              <w:right w:val="single" w:color="auto" w:sz="4" w:space="0"/>
            </w:tcBorders>
          </w:tcPr>
          <w:p>
            <w:pPr>
              <w:jc w:val="left"/>
              <w:rPr>
                <w:rFonts w:hint="eastAsia" w:asciiTheme="minorEastAsia" w:hAnsiTheme="minorEastAsia" w:cstheme="minorEastAsia"/>
                <w:szCs w:val="21"/>
              </w:rPr>
            </w:pPr>
            <w:r>
              <w:rPr>
                <w:rFonts w:hint="eastAsia" w:asciiTheme="minorEastAsia" w:hAnsiTheme="minorEastAsia" w:cstheme="minorEastAsia"/>
                <w:szCs w:val="21"/>
              </w:rPr>
              <w:t>根据竞价单位针对本项目提供的质量保证措施进行评审：</w:t>
            </w:r>
          </w:p>
          <w:p>
            <w:pPr>
              <w:ind w:firstLine="420" w:firstLineChars="200"/>
              <w:jc w:val="left"/>
              <w:rPr>
                <w:rFonts w:hint="eastAsia" w:asciiTheme="minorEastAsia" w:hAnsiTheme="minorEastAsia" w:cstheme="minorEastAsia"/>
                <w:szCs w:val="21"/>
              </w:rPr>
            </w:pPr>
            <w:r>
              <w:rPr>
                <w:rFonts w:hint="eastAsia" w:asciiTheme="minorEastAsia" w:hAnsiTheme="minorEastAsia" w:cstheme="minorEastAsia"/>
                <w:szCs w:val="21"/>
              </w:rPr>
              <w:t>1.</w:t>
            </w:r>
            <w:r>
              <w:rPr>
                <w:rFonts w:hint="eastAsia" w:asciiTheme="minorEastAsia" w:hAnsiTheme="minorEastAsia" w:cstheme="minorEastAsia"/>
                <w:szCs w:val="21"/>
                <w:lang w:val="en-US" w:eastAsia="zh-CN"/>
              </w:rPr>
              <w:t xml:space="preserve"> </w:t>
            </w:r>
            <w:r>
              <w:rPr>
                <w:rFonts w:hint="eastAsia" w:asciiTheme="minorEastAsia" w:hAnsiTheme="minorEastAsia" w:cstheme="minorEastAsia"/>
                <w:szCs w:val="21"/>
              </w:rPr>
              <w:t>出版质量符合出版行业法规和行业规范要求，质量保证措施内容详细完整、科学合理，切实可行的，得</w:t>
            </w:r>
            <w:r>
              <w:rPr>
                <w:rFonts w:hint="eastAsia" w:asciiTheme="minorEastAsia" w:hAnsiTheme="minorEastAsia" w:cstheme="minorEastAsia"/>
                <w:szCs w:val="21"/>
                <w:lang w:val="en-US" w:eastAsia="zh-CN"/>
              </w:rPr>
              <w:t>7-</w:t>
            </w:r>
            <w:r>
              <w:rPr>
                <w:rFonts w:hint="eastAsia" w:asciiTheme="minorEastAsia" w:hAnsiTheme="minorEastAsia" w:cstheme="minorEastAsia"/>
                <w:szCs w:val="21"/>
              </w:rPr>
              <w:t>10分；</w:t>
            </w:r>
          </w:p>
          <w:p>
            <w:pPr>
              <w:ind w:firstLine="420" w:firstLineChars="200"/>
              <w:jc w:val="left"/>
              <w:rPr>
                <w:rFonts w:hint="eastAsia" w:asciiTheme="minorEastAsia" w:hAnsiTheme="minorEastAsia" w:cstheme="minorEastAsia"/>
                <w:szCs w:val="21"/>
              </w:rPr>
            </w:pPr>
            <w:r>
              <w:rPr>
                <w:rFonts w:hint="eastAsia" w:asciiTheme="minorEastAsia" w:hAnsiTheme="minorEastAsia" w:cstheme="minorEastAsia"/>
                <w:szCs w:val="21"/>
              </w:rPr>
              <w:t>2. 出版质量符合出版行业法规和行业规范要求，质量保证措施内容详细完整、科学合理，可行性较强的，得</w:t>
            </w:r>
            <w:r>
              <w:rPr>
                <w:rFonts w:hint="eastAsia" w:asciiTheme="minorEastAsia" w:hAnsiTheme="minorEastAsia" w:cstheme="minorEastAsia"/>
                <w:szCs w:val="21"/>
                <w:lang w:val="en-US" w:eastAsia="zh-CN"/>
              </w:rPr>
              <w:t>4-6</w:t>
            </w:r>
            <w:r>
              <w:rPr>
                <w:rFonts w:hint="eastAsia" w:asciiTheme="minorEastAsia" w:hAnsiTheme="minorEastAsia" w:cstheme="minorEastAsia"/>
                <w:szCs w:val="21"/>
              </w:rPr>
              <w:t>分；</w:t>
            </w:r>
          </w:p>
          <w:p>
            <w:pPr>
              <w:ind w:firstLine="420" w:firstLineChars="200"/>
              <w:jc w:val="left"/>
              <w:rPr>
                <w:rFonts w:hint="eastAsia" w:asciiTheme="minorEastAsia" w:hAnsiTheme="minorEastAsia" w:cstheme="minorEastAsia"/>
                <w:szCs w:val="21"/>
              </w:rPr>
            </w:pPr>
            <w:r>
              <w:rPr>
                <w:rFonts w:hint="eastAsia" w:asciiTheme="minorEastAsia" w:hAnsiTheme="minorEastAsia" w:cstheme="minorEastAsia"/>
                <w:szCs w:val="21"/>
              </w:rPr>
              <w:t>3. 出版质量符合出版行业法规和行业规范要求，质量保证措施内容不够详细或不够合理，可行性一般的，得</w:t>
            </w:r>
            <w:r>
              <w:rPr>
                <w:rFonts w:hint="eastAsia" w:asciiTheme="minorEastAsia" w:hAnsiTheme="minorEastAsia" w:cstheme="minorEastAsia"/>
                <w:szCs w:val="21"/>
                <w:lang w:val="en-US" w:eastAsia="zh-CN"/>
              </w:rPr>
              <w:t>1-3</w:t>
            </w:r>
            <w:r>
              <w:rPr>
                <w:rFonts w:hint="eastAsia" w:asciiTheme="minorEastAsia" w:hAnsiTheme="minorEastAsia" w:cstheme="minorEastAsia"/>
                <w:szCs w:val="21"/>
              </w:rPr>
              <w:t>分；</w:t>
            </w:r>
          </w:p>
          <w:p>
            <w:pPr>
              <w:ind w:firstLine="420" w:firstLineChars="200"/>
              <w:jc w:val="left"/>
              <w:rPr>
                <w:rFonts w:hint="eastAsia" w:asciiTheme="minorEastAsia" w:hAnsiTheme="minorEastAsia" w:cstheme="minorEastAsia"/>
                <w:szCs w:val="21"/>
              </w:rPr>
            </w:pPr>
            <w:r>
              <w:rPr>
                <w:rFonts w:hint="eastAsia" w:asciiTheme="minorEastAsia" w:hAnsiTheme="minorEastAsia" w:cstheme="minorEastAsia"/>
                <w:szCs w:val="21"/>
              </w:rPr>
              <w:t>4. 不提供方案者，不得分。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4" w:hRule="atLeast"/>
        </w:trPr>
        <w:tc>
          <w:tcPr>
            <w:tcW w:w="462" w:type="dxa"/>
            <w:tcBorders>
              <w:top w:val="single" w:color="auto" w:sz="4" w:space="0"/>
              <w:left w:val="single" w:color="auto" w:sz="4" w:space="0"/>
              <w:bottom w:val="single" w:color="auto" w:sz="4" w:space="0"/>
              <w:right w:val="single" w:color="auto" w:sz="4" w:space="0"/>
            </w:tcBorders>
          </w:tcPr>
          <w:p>
            <w:pPr>
              <w:jc w:val="center"/>
              <w:rPr>
                <w:rFonts w:asciiTheme="minorEastAsia" w:hAnsiTheme="minorEastAsia" w:cstheme="minorEastAsia"/>
                <w:b/>
                <w:bCs/>
                <w:szCs w:val="21"/>
              </w:rPr>
            </w:pPr>
            <w:r>
              <w:rPr>
                <w:rFonts w:hint="eastAsia" w:asciiTheme="minorEastAsia" w:hAnsiTheme="minorEastAsia" w:cstheme="minorEastAsia"/>
                <w:b/>
                <w:bCs/>
                <w:szCs w:val="21"/>
              </w:rPr>
              <w:t>3</w:t>
            </w:r>
          </w:p>
        </w:tc>
        <w:tc>
          <w:tcPr>
            <w:tcW w:w="296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lang w:val="en-US" w:eastAsia="zh-CN"/>
              </w:rPr>
              <w:t>商务</w:t>
            </w:r>
          </w:p>
        </w:tc>
        <w:tc>
          <w:tcPr>
            <w:tcW w:w="508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b/>
                <w:bCs/>
                <w:szCs w:val="21"/>
              </w:rPr>
            </w:pPr>
            <w:r>
              <w:rPr>
                <w:rFonts w:hint="eastAsia" w:asciiTheme="minorEastAsia" w:hAnsiTheme="minorEastAsia" w:cstheme="minorEastAsia"/>
                <w:b/>
                <w:bCs/>
                <w:szCs w:val="21"/>
              </w:rPr>
              <w:t>3</w:t>
            </w:r>
            <w:r>
              <w:rPr>
                <w:rFonts w:asciiTheme="minorEastAsia" w:hAnsiTheme="minorEastAsia" w:cstheme="minorEastAsia"/>
                <w:b/>
                <w:bCs/>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6" w:hRule="atLeast"/>
        </w:trPr>
        <w:tc>
          <w:tcPr>
            <w:tcW w:w="462" w:type="dxa"/>
            <w:vMerge w:val="restart"/>
            <w:tcBorders>
              <w:top w:val="single" w:color="auto" w:sz="4" w:space="0"/>
              <w:left w:val="single" w:color="auto" w:sz="4" w:space="0"/>
              <w:right w:val="single" w:color="auto" w:sz="4" w:space="0"/>
            </w:tcBorders>
            <w:vAlign w:val="center"/>
          </w:tcPr>
          <w:p>
            <w:pPr>
              <w:jc w:val="center"/>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序号</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内容</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权重</w:t>
            </w:r>
          </w:p>
        </w:tc>
        <w:tc>
          <w:tcPr>
            <w:tcW w:w="5088" w:type="dxa"/>
            <w:tcBorders>
              <w:top w:val="single" w:color="auto" w:sz="4" w:space="0"/>
              <w:left w:val="single" w:color="auto" w:sz="4" w:space="0"/>
              <w:bottom w:val="single" w:color="auto" w:sz="4" w:space="0"/>
              <w:right w:val="single" w:color="auto" w:sz="4" w:space="0"/>
            </w:tcBorders>
          </w:tcPr>
          <w:p>
            <w:pPr>
              <w:jc w:val="center"/>
              <w:rPr>
                <w:rFonts w:asciiTheme="minorEastAsia" w:hAnsiTheme="minorEastAsia" w:cstheme="minorEastAsia"/>
                <w:szCs w:val="21"/>
              </w:rPr>
            </w:pPr>
            <w:r>
              <w:rPr>
                <w:rFonts w:hint="eastAsia" w:asciiTheme="minorEastAsia" w:hAnsiTheme="minorEastAsia" w:cstheme="minorEastAsia"/>
                <w:szCs w:val="21"/>
              </w:rPr>
              <w:t>评分准则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 w:hRule="atLeast"/>
        </w:trPr>
        <w:tc>
          <w:tcPr>
            <w:tcW w:w="462" w:type="dxa"/>
            <w:vMerge w:val="continue"/>
            <w:tcBorders>
              <w:left w:val="single" w:color="auto" w:sz="4" w:space="0"/>
              <w:right w:val="single" w:color="auto" w:sz="4" w:space="0"/>
            </w:tcBorders>
            <w:vAlign w:val="center"/>
          </w:tcPr>
          <w:p>
            <w:pPr>
              <w:widowControl/>
              <w:jc w:val="center"/>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①</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同类项目业绩情况</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cstheme="minorEastAsia"/>
                <w:szCs w:val="21"/>
              </w:rPr>
            </w:pPr>
            <w:r>
              <w:rPr>
                <w:rFonts w:hint="eastAsia" w:asciiTheme="minorEastAsia" w:hAnsiTheme="minorEastAsia" w:cstheme="minorEastAsia"/>
                <w:szCs w:val="21"/>
              </w:rPr>
              <w:t>15</w:t>
            </w:r>
          </w:p>
        </w:tc>
        <w:tc>
          <w:tcPr>
            <w:tcW w:w="5088" w:type="dxa"/>
            <w:tcBorders>
              <w:top w:val="single" w:color="auto" w:sz="4" w:space="0"/>
              <w:left w:val="single" w:color="auto" w:sz="4" w:space="0"/>
              <w:bottom w:val="single" w:color="auto" w:sz="4" w:space="0"/>
              <w:right w:val="single" w:color="auto" w:sz="4" w:space="0"/>
            </w:tcBorders>
          </w:tcPr>
          <w:p>
            <w:pPr>
              <w:jc w:val="left"/>
              <w:rPr>
                <w:rFonts w:hint="eastAsia" w:asciiTheme="minorEastAsia" w:hAnsiTheme="minorEastAsia" w:cstheme="minorEastAsia"/>
                <w:szCs w:val="21"/>
                <w:lang w:eastAsia="zh-CN"/>
              </w:rPr>
            </w:pPr>
            <w:r>
              <w:rPr>
                <w:rFonts w:hint="eastAsia" w:asciiTheme="minorEastAsia" w:hAnsiTheme="minorEastAsia" w:cstheme="minorEastAsia"/>
                <w:szCs w:val="21"/>
              </w:rPr>
              <w:t>竞价单位近五年来（</w:t>
            </w:r>
            <w:r>
              <w:rPr>
                <w:rFonts w:hint="eastAsia"/>
              </w:rPr>
              <w:t>自202</w:t>
            </w:r>
            <w:r>
              <w:rPr>
                <w:rFonts w:hint="eastAsia"/>
                <w:lang w:val="en-US" w:eastAsia="zh-CN"/>
              </w:rPr>
              <w:t>1</w:t>
            </w:r>
            <w:r>
              <w:rPr>
                <w:rFonts w:hint="eastAsia"/>
              </w:rPr>
              <w:t>年</w:t>
            </w:r>
            <w:r>
              <w:rPr>
                <w:rFonts w:hint="eastAsia"/>
                <w:lang w:val="en-US" w:eastAsia="zh-CN"/>
              </w:rPr>
              <w:t>5</w:t>
            </w:r>
            <w:r>
              <w:rPr>
                <w:rFonts w:hint="eastAsia"/>
              </w:rPr>
              <w:t>月</w:t>
            </w:r>
            <w:r>
              <w:rPr>
                <w:rFonts w:hint="eastAsia"/>
                <w:lang w:val="en-US" w:eastAsia="zh-CN"/>
              </w:rPr>
              <w:t>20</w:t>
            </w:r>
            <w:r>
              <w:rPr>
                <w:rFonts w:hint="eastAsia"/>
              </w:rPr>
              <w:t>日至今</w:t>
            </w:r>
            <w:r>
              <w:rPr>
                <w:rFonts w:hint="eastAsia" w:asciiTheme="minorEastAsia" w:hAnsiTheme="minorEastAsia" w:cstheme="minorEastAsia"/>
                <w:szCs w:val="21"/>
              </w:rPr>
              <w:t>）承接过同类项目（同类业绩指合同内容至少包括档案资料类图书著作出版服务）每提供一个项目案例得3分，满分15分。不提供者，不得分。</w:t>
            </w:r>
          </w:p>
          <w:p>
            <w:pPr>
              <w:jc w:val="left"/>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rPr>
              <w:t>备注：1.</w:t>
            </w:r>
            <w:r>
              <w:rPr>
                <w:rFonts w:hint="eastAsia" w:asciiTheme="minorEastAsia" w:hAnsiTheme="minorEastAsia" w:cstheme="minorEastAsia"/>
                <w:szCs w:val="21"/>
                <w:lang w:val="en-US" w:eastAsia="zh-CN"/>
              </w:rPr>
              <w:t xml:space="preserve"> </w:t>
            </w:r>
            <w:r>
              <w:rPr>
                <w:rFonts w:hint="eastAsia" w:asciiTheme="minorEastAsia" w:hAnsiTheme="minorEastAsia" w:cstheme="minorEastAsia"/>
                <w:szCs w:val="21"/>
              </w:rPr>
              <w:t>需提供以往同类项目出版合同复印件作为证明材料；2. 提供以往同类项目正式出版图书的封面、版权页复印件；3. 以往同类项目正式出版图书的责任编辑需在本项目团队</w:t>
            </w:r>
            <w:r>
              <w:rPr>
                <w:rFonts w:hint="eastAsia" w:asciiTheme="minorEastAsia" w:hAnsiTheme="minorEastAsia" w:cstheme="minorEastAsia"/>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 w:hRule="atLeast"/>
        </w:trPr>
        <w:tc>
          <w:tcPr>
            <w:tcW w:w="462" w:type="dxa"/>
            <w:vMerge w:val="continue"/>
            <w:tcBorders>
              <w:left w:val="single" w:color="auto" w:sz="4" w:space="0"/>
              <w:right w:val="single" w:color="auto" w:sz="4" w:space="0"/>
            </w:tcBorders>
            <w:vAlign w:val="center"/>
          </w:tcPr>
          <w:p>
            <w:pPr>
              <w:widowControl/>
              <w:jc w:val="center"/>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②</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人员投入及学术支撑条件</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rPr>
              <w:t>1</w:t>
            </w:r>
            <w:r>
              <w:rPr>
                <w:rFonts w:hint="eastAsia" w:asciiTheme="minorEastAsia" w:hAnsiTheme="minorEastAsia" w:cstheme="minorEastAsia"/>
                <w:szCs w:val="21"/>
                <w:lang w:val="en-US" w:eastAsia="zh-CN"/>
              </w:rPr>
              <w:t>5</w:t>
            </w:r>
          </w:p>
        </w:tc>
        <w:tc>
          <w:tcPr>
            <w:tcW w:w="5088" w:type="dxa"/>
            <w:tcBorders>
              <w:top w:val="single" w:color="auto" w:sz="4" w:space="0"/>
              <w:left w:val="single" w:color="auto" w:sz="4" w:space="0"/>
              <w:bottom w:val="single" w:color="auto" w:sz="4" w:space="0"/>
              <w:right w:val="single" w:color="auto" w:sz="4" w:space="0"/>
            </w:tcBorders>
          </w:tcPr>
          <w:p>
            <w:pPr>
              <w:jc w:val="left"/>
              <w:rPr>
                <w:rFonts w:hint="eastAsia" w:asciiTheme="minorEastAsia" w:hAnsiTheme="minorEastAsia" w:cstheme="minorEastAsia"/>
                <w:szCs w:val="21"/>
              </w:rPr>
            </w:pPr>
            <w:r>
              <w:rPr>
                <w:rFonts w:hint="eastAsia" w:asciiTheme="minorEastAsia" w:hAnsiTheme="minorEastAsia" w:cstheme="minorEastAsia"/>
                <w:szCs w:val="21"/>
                <w:lang w:val="en-US" w:eastAsia="zh-CN"/>
              </w:rPr>
              <w:t xml:space="preserve">1. </w:t>
            </w:r>
            <w:r>
              <w:rPr>
                <w:rFonts w:hint="eastAsia" w:asciiTheme="minorEastAsia" w:hAnsiTheme="minorEastAsia" w:cstheme="minorEastAsia"/>
                <w:szCs w:val="21"/>
              </w:rPr>
              <w:t>职称配置：竞价单位参与本项目人员具有副教授（副高）或以上职称的，每提供一人得1分，最高得3分；无，不得分。</w:t>
            </w:r>
          </w:p>
          <w:p>
            <w:pPr>
              <w:jc w:val="left"/>
              <w:rPr>
                <w:rFonts w:hint="eastAsia" w:asciiTheme="minorEastAsia" w:hAnsiTheme="minorEastAsia" w:cstheme="minorEastAsia"/>
                <w:szCs w:val="21"/>
              </w:rPr>
            </w:pPr>
            <w:r>
              <w:rPr>
                <w:rFonts w:hint="eastAsia" w:asciiTheme="minorEastAsia" w:hAnsiTheme="minorEastAsia" w:cstheme="minorEastAsia"/>
                <w:szCs w:val="21"/>
              </w:rPr>
              <w:t>2. 专业能力：竞价单位参与本项目人员具有历史文化相关学科硕士研究生及以上学历的，每人得0.5分，最高得2分：无，不得分。</w:t>
            </w:r>
          </w:p>
          <w:p>
            <w:pPr>
              <w:jc w:val="left"/>
              <w:rPr>
                <w:rFonts w:hint="eastAsia" w:asciiTheme="minorEastAsia" w:hAnsiTheme="minorEastAsia" w:cstheme="minorEastAsia"/>
                <w:szCs w:val="21"/>
              </w:rPr>
            </w:pPr>
            <w:r>
              <w:rPr>
                <w:rFonts w:hint="eastAsia" w:asciiTheme="minorEastAsia" w:hAnsiTheme="minorEastAsia" w:cstheme="minorEastAsia"/>
                <w:szCs w:val="21"/>
              </w:rPr>
              <w:t>3. 学术支撑：竞价单位所依托的学术专家顾问成员具有教授（正高）职称的，每人得1分，最高得5分：无，不得分。</w:t>
            </w:r>
          </w:p>
          <w:p>
            <w:pPr>
              <w:jc w:val="left"/>
              <w:rPr>
                <w:rFonts w:hint="eastAsia" w:asciiTheme="minorEastAsia" w:hAnsiTheme="minorEastAsia" w:cstheme="minorEastAsia"/>
                <w:szCs w:val="21"/>
              </w:rPr>
            </w:pPr>
            <w:r>
              <w:rPr>
                <w:rFonts w:hint="eastAsia" w:asciiTheme="minorEastAsia" w:hAnsiTheme="minorEastAsia" w:cstheme="minorEastAsia"/>
                <w:szCs w:val="21"/>
              </w:rPr>
              <w:t>4.</w:t>
            </w:r>
            <w:r>
              <w:rPr>
                <w:rFonts w:hint="eastAsia" w:asciiTheme="minorEastAsia" w:hAnsiTheme="minorEastAsia" w:cstheme="minorEastAsia"/>
                <w:szCs w:val="21"/>
                <w:lang w:val="en-US" w:eastAsia="zh-CN"/>
              </w:rPr>
              <w:t xml:space="preserve"> </w:t>
            </w:r>
            <w:r>
              <w:rPr>
                <w:rFonts w:hint="eastAsia" w:asciiTheme="minorEastAsia" w:hAnsiTheme="minorEastAsia" w:cstheme="minorEastAsia"/>
                <w:szCs w:val="21"/>
              </w:rPr>
              <w:t>经验支撑：竞价单位具有省级及以上档案文献整理出版项目经验的，每个项目可得1分，最高得5分；无，不得分。</w:t>
            </w:r>
          </w:p>
          <w:p>
            <w:pPr>
              <w:jc w:val="left"/>
            </w:pPr>
            <w:r>
              <w:rPr>
                <w:rFonts w:hint="eastAsia" w:asciiTheme="minorEastAsia" w:hAnsiTheme="minorEastAsia" w:cstheme="minorEastAsia"/>
                <w:szCs w:val="21"/>
              </w:rPr>
              <w:t>备注：同时提供人员有效证书或相关资格证明材料复印件，及在职证明。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 w:hRule="atLeast"/>
        </w:trPr>
        <w:tc>
          <w:tcPr>
            <w:tcW w:w="462" w:type="dxa"/>
            <w:vMerge w:val="continue"/>
            <w:tcBorders>
              <w:left w:val="single" w:color="auto" w:sz="4" w:space="0"/>
              <w:bottom w:val="single" w:color="auto" w:sz="4" w:space="0"/>
              <w:right w:val="single" w:color="auto" w:sz="4" w:space="0"/>
            </w:tcBorders>
            <w:vAlign w:val="center"/>
          </w:tcPr>
          <w:p>
            <w:pPr>
              <w:widowControl/>
              <w:jc w:val="center"/>
              <w:rPr>
                <w:rFonts w:asciiTheme="minorEastAsia" w:hAnsiTheme="minorEastAsia" w:cstheme="minorEastAsia"/>
                <w:szCs w:val="21"/>
              </w:rPr>
            </w:pPr>
          </w:p>
        </w:tc>
        <w:tc>
          <w:tcPr>
            <w:tcW w:w="72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③</w:t>
            </w:r>
          </w:p>
        </w:tc>
        <w:tc>
          <w:tcPr>
            <w:tcW w:w="151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综合实力</w:t>
            </w:r>
          </w:p>
        </w:tc>
        <w:tc>
          <w:tcPr>
            <w:tcW w:w="72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w:t>
            </w:r>
          </w:p>
        </w:tc>
        <w:tc>
          <w:tcPr>
            <w:tcW w:w="5088" w:type="dxa"/>
            <w:tcBorders>
              <w:top w:val="single" w:color="auto" w:sz="4" w:space="0"/>
              <w:left w:val="single" w:color="auto" w:sz="4" w:space="0"/>
              <w:bottom w:val="single" w:color="auto" w:sz="4" w:space="0"/>
              <w:right w:val="single" w:color="auto" w:sz="4" w:space="0"/>
            </w:tcBorders>
          </w:tcPr>
          <w:p>
            <w:pPr>
              <w:jc w:val="left"/>
              <w:rPr>
                <w:rFonts w:hint="eastAsia"/>
              </w:rPr>
            </w:pPr>
            <w:r>
              <w:rPr>
                <w:rFonts w:hint="eastAsia"/>
              </w:rPr>
              <w:t>竞价单位近五年来（自202</w:t>
            </w:r>
            <w:r>
              <w:rPr>
                <w:rFonts w:hint="eastAsia"/>
                <w:lang w:val="en-US" w:eastAsia="zh-CN"/>
              </w:rPr>
              <w:t>1</w:t>
            </w:r>
            <w:r>
              <w:rPr>
                <w:rFonts w:hint="eastAsia"/>
              </w:rPr>
              <w:t>年</w:t>
            </w:r>
            <w:r>
              <w:rPr>
                <w:rFonts w:hint="eastAsia"/>
                <w:lang w:val="en-US" w:eastAsia="zh-CN"/>
              </w:rPr>
              <w:t>5</w:t>
            </w:r>
            <w:r>
              <w:rPr>
                <w:rFonts w:hint="eastAsia"/>
              </w:rPr>
              <w:t>月</w:t>
            </w:r>
            <w:r>
              <w:rPr>
                <w:rFonts w:hint="eastAsia"/>
                <w:lang w:val="en-US" w:eastAsia="zh-CN"/>
              </w:rPr>
              <w:t>20</w:t>
            </w:r>
            <w:r>
              <w:rPr>
                <w:rFonts w:hint="eastAsia"/>
              </w:rPr>
              <w:t>日至今）获得国家机关颁发的与出版相关荣誉或奖项，每提供一个得1分，满分5分。</w:t>
            </w:r>
          </w:p>
          <w:p>
            <w:pPr>
              <w:jc w:val="left"/>
              <w:rPr>
                <w:rFonts w:asciiTheme="minorEastAsia" w:hAnsiTheme="minorEastAsia" w:cstheme="minorEastAsia"/>
                <w:szCs w:val="21"/>
              </w:rPr>
            </w:pPr>
            <w:r>
              <w:rPr>
                <w:rFonts w:hint="eastAsia"/>
              </w:rPr>
              <w:t>备注：需提供单位盖章或相关业绩证明复印件并加盖响应供应商公章，不提供者，不得分。</w:t>
            </w:r>
          </w:p>
        </w:tc>
      </w:tr>
    </w:tbl>
    <w:p>
      <w:bookmarkStart w:id="0" w:name="InsertEnd"/>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Nimbus Roman No9 L">
    <w:altName w:val="HakusyuGyosyoExtraBold"/>
    <w:panose1 w:val="00000000000000000000"/>
    <w:charset w:val="00"/>
    <w:family w:val="auto"/>
    <w:pitch w:val="default"/>
    <w:sig w:usb0="00000000" w:usb1="00000000" w:usb2="00000000" w:usb3="00000000" w:csb0="00000000" w:csb1="00000000"/>
  </w:font>
  <w:font w:name="Standard Symbols PS">
    <w:altName w:val="HakusyuGyosyoExtraBold"/>
    <w:panose1 w:val="05050102010706020507"/>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 w:name="HakusyuGyosyoExtraBold">
    <w:panose1 w:val="02000600000000000000"/>
    <w:charset w:val="80"/>
    <w:family w:val="auto"/>
    <w:pitch w:val="default"/>
    <w:sig w:usb0="A00002BF" w:usb1="68C7FCFB" w:usb2="00000010"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mMDAxMDYwMzJmMmI0ZTM3NWQzNzA1MDgyM2ZiNWEifQ=="/>
  </w:docVars>
  <w:rsids>
    <w:rsidRoot w:val="2F770B5F"/>
    <w:rsid w:val="000A4D6C"/>
    <w:rsid w:val="00111C2C"/>
    <w:rsid w:val="0012293D"/>
    <w:rsid w:val="00160181"/>
    <w:rsid w:val="001C6AF8"/>
    <w:rsid w:val="001D0282"/>
    <w:rsid w:val="001E429F"/>
    <w:rsid w:val="002704C1"/>
    <w:rsid w:val="0027538D"/>
    <w:rsid w:val="00285AAD"/>
    <w:rsid w:val="00292267"/>
    <w:rsid w:val="00292FB5"/>
    <w:rsid w:val="002B7D87"/>
    <w:rsid w:val="002D0BCF"/>
    <w:rsid w:val="00306612"/>
    <w:rsid w:val="00330F81"/>
    <w:rsid w:val="0038281B"/>
    <w:rsid w:val="003D1368"/>
    <w:rsid w:val="003E21D5"/>
    <w:rsid w:val="004449C5"/>
    <w:rsid w:val="00472DE5"/>
    <w:rsid w:val="00482545"/>
    <w:rsid w:val="004F68E2"/>
    <w:rsid w:val="005428EE"/>
    <w:rsid w:val="00552CF2"/>
    <w:rsid w:val="005B2860"/>
    <w:rsid w:val="005B6099"/>
    <w:rsid w:val="00620E61"/>
    <w:rsid w:val="00637CC9"/>
    <w:rsid w:val="00653831"/>
    <w:rsid w:val="00666617"/>
    <w:rsid w:val="006721B1"/>
    <w:rsid w:val="00691750"/>
    <w:rsid w:val="00694704"/>
    <w:rsid w:val="006C508F"/>
    <w:rsid w:val="00731733"/>
    <w:rsid w:val="0074758B"/>
    <w:rsid w:val="00767CD6"/>
    <w:rsid w:val="00785333"/>
    <w:rsid w:val="007D61AC"/>
    <w:rsid w:val="007F2410"/>
    <w:rsid w:val="00815012"/>
    <w:rsid w:val="0082437A"/>
    <w:rsid w:val="00867734"/>
    <w:rsid w:val="008B707E"/>
    <w:rsid w:val="008E1FF2"/>
    <w:rsid w:val="00992C0B"/>
    <w:rsid w:val="00993C45"/>
    <w:rsid w:val="009D020C"/>
    <w:rsid w:val="009E043E"/>
    <w:rsid w:val="009F5A17"/>
    <w:rsid w:val="00A443FE"/>
    <w:rsid w:val="00A530DF"/>
    <w:rsid w:val="00A579A3"/>
    <w:rsid w:val="00A64EE2"/>
    <w:rsid w:val="00A77330"/>
    <w:rsid w:val="00A9401F"/>
    <w:rsid w:val="00AB38BD"/>
    <w:rsid w:val="00AC5422"/>
    <w:rsid w:val="00AC5570"/>
    <w:rsid w:val="00B16BEC"/>
    <w:rsid w:val="00B4240F"/>
    <w:rsid w:val="00B520BC"/>
    <w:rsid w:val="00B65AB0"/>
    <w:rsid w:val="00B828FE"/>
    <w:rsid w:val="00BD22E4"/>
    <w:rsid w:val="00C30CE2"/>
    <w:rsid w:val="00C67551"/>
    <w:rsid w:val="00C84D0B"/>
    <w:rsid w:val="00CA5808"/>
    <w:rsid w:val="00CC5071"/>
    <w:rsid w:val="00D40AD1"/>
    <w:rsid w:val="00D52E22"/>
    <w:rsid w:val="00D96B47"/>
    <w:rsid w:val="00E006A3"/>
    <w:rsid w:val="00E72AAF"/>
    <w:rsid w:val="00EB62F5"/>
    <w:rsid w:val="00F1582F"/>
    <w:rsid w:val="00F17F8A"/>
    <w:rsid w:val="00F55297"/>
    <w:rsid w:val="00F777E3"/>
    <w:rsid w:val="00F90E29"/>
    <w:rsid w:val="00F93B80"/>
    <w:rsid w:val="00FE0BEC"/>
    <w:rsid w:val="00FF2FAB"/>
    <w:rsid w:val="00FF7236"/>
    <w:rsid w:val="07EF075B"/>
    <w:rsid w:val="15FF32B0"/>
    <w:rsid w:val="17E3159F"/>
    <w:rsid w:val="17FF56B5"/>
    <w:rsid w:val="1CB21A61"/>
    <w:rsid w:val="24F2DF9D"/>
    <w:rsid w:val="2F770B5F"/>
    <w:rsid w:val="388A065D"/>
    <w:rsid w:val="3F302806"/>
    <w:rsid w:val="43413495"/>
    <w:rsid w:val="55C32F54"/>
    <w:rsid w:val="57FF39ED"/>
    <w:rsid w:val="59FF244D"/>
    <w:rsid w:val="60B206B3"/>
    <w:rsid w:val="61B1143D"/>
    <w:rsid w:val="6CB84853"/>
    <w:rsid w:val="7FF5B6C3"/>
    <w:rsid w:val="BF56C964"/>
    <w:rsid w:val="DCFF404C"/>
    <w:rsid w:val="E93F2DD7"/>
    <w:rsid w:val="FBE061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qFormat/>
    <w:uiPriority w:val="0"/>
    <w:rPr>
      <w:rFonts w:asciiTheme="minorHAnsi" w:hAnsiTheme="minorHAnsi" w:eastAsiaTheme="minorEastAsia" w:cstheme="minorBidi"/>
      <w:kern w:val="2"/>
      <w:sz w:val="18"/>
      <w:szCs w:val="18"/>
    </w:rPr>
  </w:style>
  <w:style w:type="character" w:customStyle="1" w:styleId="8">
    <w:name w:val="页脚 Char"/>
    <w:basedOn w:val="5"/>
    <w:link w:val="3"/>
    <w:qFormat/>
    <w:uiPriority w:val="0"/>
    <w:rPr>
      <w:rFonts w:asciiTheme="minorHAnsi" w:hAnsiTheme="minorHAnsi" w:eastAsiaTheme="minorEastAsia" w:cstheme="minorBidi"/>
      <w:kern w:val="2"/>
      <w:sz w:val="18"/>
      <w:szCs w:val="18"/>
    </w:rPr>
  </w:style>
  <w:style w:type="character" w:customStyle="1" w:styleId="9">
    <w:name w:val="批注框文本 Char"/>
    <w:basedOn w:val="5"/>
    <w:link w:val="2"/>
    <w:qFormat/>
    <w:uiPriority w:val="0"/>
    <w:rPr>
      <w:rFonts w:asciiTheme="minorHAnsi" w:hAnsiTheme="minorHAnsi" w:eastAsiaTheme="minorEastAsia" w:cstheme="minorBidi"/>
      <w:kern w:val="2"/>
      <w:sz w:val="18"/>
      <w:szCs w:val="18"/>
    </w:rPr>
  </w:style>
  <w:style w:type="paragraph" w:customStyle="1" w:styleId="10">
    <w:name w:val="彩色列表1"/>
    <w:basedOn w:val="1"/>
    <w:qFormat/>
    <w:uiPriority w:val="0"/>
    <w:pPr>
      <w:ind w:firstLine="42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1</Company>
  <Pages>2</Pages>
  <Words>1238</Words>
  <Characters>1302</Characters>
  <Lines>13</Lines>
  <Paragraphs>3</Paragraphs>
  <TotalTime>0</TotalTime>
  <ScaleCrop>false</ScaleCrop>
  <LinksUpToDate>false</LinksUpToDate>
  <CharactersWithSpaces>1321</CharactersWithSpaces>
  <Application>WPS Office_10.8.0.6423_F1E327BC-269C-435d-A152-05C5408002CA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2021-11-11T02:05:00Z</dcterms:created>
  <dc:creator>1</dc:creator>
  <cp:lastModifiedBy>cxg</cp:lastModifiedBy>
  <cp:lastPrinted>2026-05-19T19:44:00Z</cp:lastPrinted>
  <dcterms:modified xsi:type="dcterms:W3CDTF">2026-05-20T07:19:18Z</dcterms:modified>
  <dc:title>1</dc:title>
  <cp:revision>221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2052-10.8.0.6423</vt:lpwstr>
  </property>
  <property fmtid="{D5CDD505-2E9C-101B-9397-08002B2CF9AE}" pid="3" name="ICV">
    <vt:lpwstr>361544B07B0A43E3830D0DCDEB3D4795_12</vt:lpwstr>
  </property>
</Properties>
</file>