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36"/>
          <w:szCs w:val="36"/>
          <w:lang w:val="en-US" w:eastAsia="zh-CN"/>
        </w:rPr>
      </w:pPr>
      <w:bookmarkStart w:id="2" w:name="_GoBack"/>
      <w:bookmarkEnd w:id="2"/>
      <w:r>
        <w:rPr>
          <w:rFonts w:hint="eastAsia" w:ascii="方正小标宋简体" w:hAnsi="方正小标宋简体" w:eastAsia="方正小标宋简体" w:cs="方正小标宋简体"/>
          <w:sz w:val="36"/>
          <w:szCs w:val="36"/>
          <w:lang w:val="en-US" w:eastAsia="zh-CN"/>
        </w:rPr>
        <w:t>广东省档案馆消防系统升级改造项目</w:t>
      </w:r>
    </w:p>
    <w:p>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lang w:val="en-US" w:eastAsia="zh-CN"/>
        </w:rPr>
        <w:t>造价咨询服</w:t>
      </w:r>
      <w:r>
        <w:rPr>
          <w:rFonts w:hint="eastAsia" w:ascii="方正小标宋简体" w:hAnsi="方正小标宋简体" w:eastAsia="方正小标宋简体" w:cs="方正小标宋简体"/>
          <w:sz w:val="36"/>
          <w:szCs w:val="36"/>
        </w:rPr>
        <w:t>采购项目评审标准</w:t>
      </w:r>
    </w:p>
    <w:p>
      <w:pPr>
        <w:jc w:val="center"/>
        <w:rPr>
          <w:rFonts w:hint="eastAsia" w:ascii="方正小标宋简体" w:hAnsi="方正小标宋简体" w:eastAsia="方正小标宋简体" w:cs="方正小标宋简体"/>
          <w:sz w:val="36"/>
          <w:szCs w:val="36"/>
        </w:rPr>
      </w:pPr>
    </w:p>
    <w:p>
      <w:pPr>
        <w:ind w:firstLine="640" w:firstLineChars="200"/>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总则</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本标准用于广东省档案馆消防系统升级改造项目造价咨询服务采购项目进行综合评审。评审工作将遵循公开、公平、公正和科学择优的原则，</w:t>
      </w:r>
      <w:r>
        <w:rPr>
          <w:rFonts w:hint="eastAsia" w:ascii="仿宋" w:hAnsi="仿宋" w:eastAsia="仿宋" w:cs="仿宋"/>
          <w:sz w:val="32"/>
          <w:szCs w:val="32"/>
          <w:lang w:val="en-US" w:eastAsia="zh-CN"/>
        </w:rPr>
        <w:t>从服务报价、企业实力、同类项目业绩、人员资质、服务方案等5</w:t>
      </w:r>
      <w:r>
        <w:rPr>
          <w:rFonts w:hint="eastAsia" w:ascii="仿宋" w:hAnsi="仿宋" w:eastAsia="仿宋" w:cs="仿宋"/>
          <w:sz w:val="32"/>
          <w:szCs w:val="32"/>
        </w:rPr>
        <w:t>个</w:t>
      </w:r>
      <w:r>
        <w:rPr>
          <w:rFonts w:hint="eastAsia" w:ascii="仿宋" w:hAnsi="仿宋" w:eastAsia="仿宋" w:cs="仿宋"/>
          <w:sz w:val="32"/>
          <w:szCs w:val="32"/>
          <w:lang w:eastAsia="zh-CN"/>
        </w:rPr>
        <w:t>方面</w:t>
      </w:r>
      <w:r>
        <w:rPr>
          <w:rFonts w:hint="eastAsia" w:ascii="仿宋" w:hAnsi="仿宋" w:eastAsia="仿宋" w:cs="仿宋"/>
          <w:sz w:val="32"/>
          <w:szCs w:val="32"/>
        </w:rPr>
        <w:t>进行量化评分，最终推荐综合得分最高的供应商为中标候选人。</w:t>
      </w:r>
    </w:p>
    <w:p>
      <w:pPr>
        <w:numPr>
          <w:ilvl w:val="0"/>
          <w:numId w:val="2"/>
        </w:numPr>
        <w:ind w:firstLine="640" w:firstLineChars="200"/>
        <w:rPr>
          <w:rFonts w:hint="eastAsia" w:ascii="黑体" w:hAnsi="黑体" w:eastAsia="黑体" w:cs="黑体"/>
          <w:sz w:val="32"/>
          <w:szCs w:val="32"/>
        </w:rPr>
      </w:pPr>
      <w:r>
        <w:rPr>
          <w:rFonts w:hint="eastAsia" w:ascii="黑体" w:hAnsi="黑体" w:eastAsia="黑体" w:cs="黑体"/>
          <w:sz w:val="32"/>
          <w:szCs w:val="32"/>
        </w:rPr>
        <w:t>评审内容及分值分配（总分100分）</w:t>
      </w:r>
    </w:p>
    <w:tbl>
      <w:tblPr>
        <w:tblStyle w:val="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276"/>
        <w:gridCol w:w="5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3" w:hRule="atLeast"/>
        </w:trPr>
        <w:tc>
          <w:tcPr>
            <w:tcW w:w="1526" w:type="dxa"/>
            <w:vAlign w:val="center"/>
          </w:tcPr>
          <w:p>
            <w:pPr>
              <w:jc w:val="center"/>
              <w:rPr>
                <w:rFonts w:hint="eastAsia" w:ascii="黑体" w:hAnsi="黑体" w:eastAsia="黑体" w:cs="黑体"/>
                <w:color w:val="auto"/>
                <w:sz w:val="32"/>
                <w:szCs w:val="32"/>
                <w:highlight w:val="none"/>
              </w:rPr>
            </w:pPr>
            <w:r>
              <w:rPr>
                <w:rFonts w:hint="eastAsia" w:ascii="仿宋" w:hAnsi="仿宋" w:eastAsia="仿宋" w:cs="仿宋"/>
                <w:color w:val="auto"/>
                <w:sz w:val="32"/>
                <w:szCs w:val="32"/>
                <w:highlight w:val="none"/>
              </w:rPr>
              <w:t>评审项目</w:t>
            </w:r>
          </w:p>
        </w:tc>
        <w:tc>
          <w:tcPr>
            <w:tcW w:w="1276" w:type="dxa"/>
            <w:vAlign w:val="center"/>
          </w:tcPr>
          <w:p>
            <w:pPr>
              <w:jc w:val="center"/>
              <w:rPr>
                <w:rFonts w:hint="eastAsia" w:ascii="黑体" w:hAnsi="黑体" w:eastAsia="黑体" w:cs="黑体"/>
                <w:color w:val="auto"/>
                <w:sz w:val="32"/>
                <w:szCs w:val="32"/>
                <w:highlight w:val="none"/>
              </w:rPr>
            </w:pPr>
            <w:r>
              <w:rPr>
                <w:rFonts w:hint="eastAsia" w:ascii="仿宋" w:hAnsi="仿宋" w:eastAsia="仿宋" w:cs="仿宋"/>
                <w:color w:val="auto"/>
                <w:sz w:val="32"/>
                <w:szCs w:val="32"/>
                <w:highlight w:val="none"/>
              </w:rPr>
              <w:t>分值</w:t>
            </w:r>
          </w:p>
        </w:tc>
        <w:tc>
          <w:tcPr>
            <w:tcW w:w="5720" w:type="dxa"/>
            <w:vAlign w:val="center"/>
          </w:tcPr>
          <w:p>
            <w:pPr>
              <w:jc w:val="center"/>
              <w:rPr>
                <w:rFonts w:hint="eastAsia" w:ascii="黑体" w:hAnsi="黑体" w:eastAsia="黑体" w:cs="黑体"/>
                <w:color w:val="auto"/>
                <w:sz w:val="32"/>
                <w:szCs w:val="32"/>
                <w:highlight w:val="none"/>
              </w:rPr>
            </w:pPr>
            <w:r>
              <w:rPr>
                <w:rFonts w:hint="eastAsia" w:ascii="仿宋" w:hAnsi="仿宋" w:eastAsia="仿宋" w:cs="仿宋"/>
                <w:color w:val="auto"/>
                <w:sz w:val="32"/>
                <w:szCs w:val="32"/>
                <w:highlight w:val="none"/>
              </w:rPr>
              <w:t>评审细则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26" w:type="dxa"/>
            <w:vAlign w:val="center"/>
          </w:tcPr>
          <w:p>
            <w:pPr>
              <w:jc w:val="center"/>
              <w:rPr>
                <w:rFonts w:hint="eastAsia" w:ascii="黑体" w:hAnsi="黑体" w:eastAsia="黑体" w:cs="黑体"/>
                <w:color w:val="auto"/>
                <w:sz w:val="32"/>
                <w:szCs w:val="32"/>
                <w:highlight w:val="none"/>
              </w:rPr>
            </w:pPr>
            <w:r>
              <w:rPr>
                <w:rFonts w:hint="eastAsia" w:ascii="仿宋" w:hAnsi="仿宋" w:eastAsia="仿宋" w:cs="仿宋"/>
                <w:color w:val="auto"/>
                <w:sz w:val="32"/>
                <w:szCs w:val="32"/>
                <w:highlight w:val="none"/>
              </w:rPr>
              <w:t>服务报价</w:t>
            </w:r>
          </w:p>
        </w:tc>
        <w:tc>
          <w:tcPr>
            <w:tcW w:w="1276" w:type="dxa"/>
            <w:vAlign w:val="center"/>
          </w:tcPr>
          <w:p>
            <w:pPr>
              <w:jc w:val="center"/>
              <w:rPr>
                <w:rFonts w:hint="eastAsia" w:ascii="黑体" w:hAnsi="黑体" w:eastAsia="黑体" w:cs="黑体"/>
                <w:color w:val="auto"/>
                <w:sz w:val="32"/>
                <w:szCs w:val="32"/>
                <w:highlight w:val="none"/>
              </w:rPr>
            </w:pPr>
            <w:r>
              <w:rPr>
                <w:rFonts w:hint="eastAsia" w:ascii="仿宋" w:hAnsi="仿宋" w:eastAsia="仿宋" w:cs="仿宋"/>
                <w:color w:val="auto"/>
                <w:sz w:val="32"/>
                <w:szCs w:val="32"/>
                <w:highlight w:val="none"/>
              </w:rPr>
              <w:t>30分</w:t>
            </w:r>
          </w:p>
        </w:tc>
        <w:tc>
          <w:tcPr>
            <w:tcW w:w="5720" w:type="dxa"/>
            <w:vAlign w:val="top"/>
          </w:tcPr>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以满足招标文件要求且最终报价最低的投标报价为评标基准价，其价格分为30分。其他投标人的价格分统一按照下列公式计算：</w:t>
            </w:r>
          </w:p>
          <w:p>
            <w:pPr>
              <w:widowControl/>
              <w:jc w:val="left"/>
              <w:rPr>
                <w:rFonts w:ascii="仿宋" w:hAnsi="仿宋" w:eastAsia="仿宋" w:cs="仿宋"/>
                <w:color w:val="auto"/>
                <w:sz w:val="32"/>
                <w:szCs w:val="32"/>
                <w:highlight w:val="none"/>
              </w:rPr>
            </w:pPr>
            <w:r>
              <w:rPr>
                <w:rFonts w:hint="eastAsia" w:ascii="仿宋" w:hAnsi="仿宋" w:eastAsia="仿宋" w:cs="仿宋"/>
                <w:color w:val="auto"/>
                <w:sz w:val="32"/>
                <w:szCs w:val="32"/>
                <w:highlight w:val="none"/>
              </w:rPr>
              <w:t>报价得分 = (评标基准价／投标报价) × 30分</w:t>
            </w:r>
          </w:p>
          <w:p>
            <w:pPr>
              <w:rPr>
                <w:rFonts w:hint="eastAsia" w:ascii="黑体" w:hAnsi="黑体" w:eastAsia="黑体" w:cs="黑体"/>
                <w:color w:val="auto"/>
                <w:sz w:val="32"/>
                <w:szCs w:val="32"/>
                <w:highlight w:val="none"/>
              </w:rPr>
            </w:pPr>
            <w:r>
              <w:rPr>
                <w:rFonts w:hint="eastAsia" w:ascii="仿宋" w:hAnsi="仿宋" w:eastAsia="仿宋" w:cs="仿宋"/>
                <w:color w:val="auto"/>
                <w:sz w:val="32"/>
                <w:szCs w:val="32"/>
                <w:highlight w:val="none"/>
              </w:rPr>
              <w:t>本项目成本警示价为最高限价×80%。供应商报价总价超过最高限价的将被否决响应。对低于该警示价的报价，投标人必须提供详细的成本分析证明材料。投标人不能合理说明或者不能提供相关证明材料的，由评审委员会认定该投标人以低于成本报价竞标，否决其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5" w:hRule="atLeast"/>
        </w:trPr>
        <w:tc>
          <w:tcPr>
            <w:tcW w:w="1526" w:type="dxa"/>
            <w:vMerge w:val="restart"/>
            <w:vAlign w:val="center"/>
          </w:tcPr>
          <w:p>
            <w:pPr>
              <w:jc w:val="cente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企业实力</w:t>
            </w:r>
          </w:p>
        </w:tc>
        <w:tc>
          <w:tcPr>
            <w:tcW w:w="1276" w:type="dxa"/>
            <w:vMerge w:val="restart"/>
            <w:vAlign w:val="center"/>
          </w:tcPr>
          <w:p>
            <w:pPr>
              <w:jc w:val="cente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val="en-US" w:eastAsia="zh-CN"/>
              </w:rPr>
              <w:t>11</w:t>
            </w:r>
            <w:r>
              <w:rPr>
                <w:rFonts w:hint="eastAsia" w:ascii="仿宋" w:hAnsi="仿宋" w:eastAsia="仿宋" w:cs="仿宋"/>
                <w:color w:val="auto"/>
                <w:sz w:val="32"/>
                <w:szCs w:val="32"/>
                <w:highlight w:val="none"/>
              </w:rPr>
              <w:t>分</w:t>
            </w:r>
          </w:p>
        </w:tc>
        <w:tc>
          <w:tcPr>
            <w:tcW w:w="5720" w:type="dxa"/>
            <w:vAlign w:val="top"/>
          </w:tcPr>
          <w:p>
            <w:pPr>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一、体系认证情况（6分）：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具有由国家认证认可监督管理部门批准设立的认证机构颁发并在有效期内且年审合格的认证证书：</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质量管理体系、环境管理体系、职业健康安全管理体系、知识产权合规管理体系认证证书、工程造价咨询体系</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rPr>
              <w:t>社会责任管理体系认证证书且在有效期内</w:t>
            </w:r>
            <w:r>
              <w:rPr>
                <w:rFonts w:hint="eastAsia" w:ascii="仿宋" w:hAnsi="仿宋" w:eastAsia="仿宋" w:cs="仿宋"/>
                <w:color w:val="auto"/>
                <w:sz w:val="32"/>
                <w:szCs w:val="32"/>
                <w:highlight w:val="none"/>
                <w:lang w:eastAsia="zh-CN"/>
              </w:rPr>
              <w:t>的</w:t>
            </w:r>
            <w:r>
              <w:rPr>
                <w:rFonts w:hint="eastAsia" w:ascii="仿宋" w:hAnsi="仿宋" w:eastAsia="仿宋" w:cs="仿宋"/>
                <w:color w:val="auto"/>
                <w:sz w:val="32"/>
                <w:szCs w:val="32"/>
                <w:highlight w:val="none"/>
              </w:rPr>
              <w:t xml:space="preserve">每提供一个得1分，满分6分。 </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注：须提供认证证书复印件加盖公章并同时提供全国认证认可信息公共服务平台对体系证书得信息查询截图证明，已失效或撤销或暂停的不得分。不提供得0分。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5" w:hRule="atLeast"/>
        </w:trPr>
        <w:tc>
          <w:tcPr>
            <w:tcW w:w="1526" w:type="dxa"/>
            <w:vMerge w:val="continue"/>
            <w:vAlign w:val="center"/>
          </w:tcPr>
          <w:p>
            <w:pPr>
              <w:jc w:val="center"/>
              <w:rPr>
                <w:rFonts w:hint="eastAsia" w:ascii="仿宋" w:hAnsi="仿宋" w:eastAsia="仿宋" w:cs="仿宋"/>
                <w:color w:val="auto"/>
                <w:sz w:val="32"/>
                <w:szCs w:val="32"/>
                <w:highlight w:val="none"/>
              </w:rPr>
            </w:pPr>
          </w:p>
        </w:tc>
        <w:tc>
          <w:tcPr>
            <w:tcW w:w="1276" w:type="dxa"/>
            <w:vMerge w:val="continue"/>
            <w:vAlign w:val="center"/>
          </w:tcPr>
          <w:p>
            <w:pPr>
              <w:jc w:val="center"/>
              <w:rPr>
                <w:rFonts w:hint="eastAsia" w:ascii="仿宋" w:hAnsi="仿宋" w:eastAsia="仿宋" w:cs="仿宋"/>
                <w:color w:val="auto"/>
                <w:sz w:val="32"/>
                <w:szCs w:val="32"/>
                <w:highlight w:val="none"/>
              </w:rPr>
            </w:pPr>
          </w:p>
        </w:tc>
        <w:tc>
          <w:tcPr>
            <w:tcW w:w="5720" w:type="dxa"/>
            <w:vAlign w:val="top"/>
          </w:tcPr>
          <w:p>
            <w:pPr>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二、</w:t>
            </w:r>
            <w:r>
              <w:rPr>
                <w:rFonts w:hint="eastAsia" w:ascii="仿宋" w:hAnsi="仿宋" w:eastAsia="仿宋" w:cs="仿宋"/>
                <w:b/>
                <w:bCs/>
                <w:color w:val="auto"/>
                <w:sz w:val="32"/>
                <w:szCs w:val="32"/>
                <w:highlight w:val="none"/>
                <w:lang w:val="en-US" w:eastAsia="zh-CN"/>
              </w:rPr>
              <w:t>获奖</w:t>
            </w:r>
            <w:r>
              <w:rPr>
                <w:rFonts w:hint="eastAsia" w:ascii="仿宋" w:hAnsi="仿宋" w:eastAsia="仿宋" w:cs="仿宋"/>
                <w:b/>
                <w:bCs/>
                <w:color w:val="auto"/>
                <w:sz w:val="32"/>
                <w:szCs w:val="32"/>
                <w:highlight w:val="none"/>
              </w:rPr>
              <w:t>情况（</w:t>
            </w:r>
            <w:r>
              <w:rPr>
                <w:rFonts w:hint="eastAsia" w:ascii="仿宋" w:hAnsi="仿宋" w:eastAsia="仿宋" w:cs="仿宋"/>
                <w:b/>
                <w:bCs/>
                <w:color w:val="auto"/>
                <w:sz w:val="32"/>
                <w:szCs w:val="32"/>
                <w:highlight w:val="none"/>
                <w:lang w:val="en-US" w:eastAsia="zh-CN"/>
              </w:rPr>
              <w:t>5</w:t>
            </w:r>
            <w:r>
              <w:rPr>
                <w:rFonts w:hint="eastAsia" w:ascii="仿宋" w:hAnsi="仿宋" w:eastAsia="仿宋" w:cs="仿宋"/>
                <w:b/>
                <w:bCs/>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val="en-US" w:eastAsia="zh-CN"/>
              </w:rPr>
              <w:t>2</w:t>
            </w:r>
            <w:r>
              <w:rPr>
                <w:rFonts w:hint="eastAsia" w:ascii="仿宋" w:hAnsi="仿宋" w:eastAsia="仿宋" w:cs="仿宋"/>
                <w:color w:val="auto"/>
                <w:sz w:val="32"/>
                <w:szCs w:val="32"/>
                <w:highlight w:val="none"/>
              </w:rPr>
              <w:t>02</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rPr>
              <w:t>年1月1日至今投标人承接过的造价咨询服务项目：</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获得政府部门或相关造价行业协会颁发的工程造价优秀成果奖（或优秀成果奖）的省级（含副省级）或以上的每项得</w:t>
            </w:r>
            <w:r>
              <w:rPr>
                <w:rFonts w:hint="eastAsia" w:ascii="仿宋" w:hAnsi="仿宋" w:eastAsia="仿宋" w:cs="仿宋"/>
                <w:color w:val="auto"/>
                <w:sz w:val="32"/>
                <w:szCs w:val="32"/>
                <w:highlight w:val="none"/>
                <w:lang w:val="en-US" w:eastAsia="zh-CN"/>
              </w:rPr>
              <w:t>1</w:t>
            </w:r>
            <w:r>
              <w:rPr>
                <w:rFonts w:hint="eastAsia" w:ascii="仿宋" w:hAnsi="仿宋" w:eastAsia="仿宋" w:cs="仿宋"/>
                <w:color w:val="auto"/>
                <w:sz w:val="32"/>
                <w:szCs w:val="32"/>
                <w:highlight w:val="none"/>
              </w:rPr>
              <w:t>分，</w:t>
            </w:r>
            <w:r>
              <w:rPr>
                <w:rFonts w:hint="eastAsia" w:ascii="仿宋" w:hAnsi="仿宋" w:eastAsia="仿宋" w:cs="仿宋"/>
                <w:color w:val="auto"/>
                <w:sz w:val="32"/>
                <w:szCs w:val="32"/>
                <w:highlight w:val="none"/>
                <w:lang w:eastAsia="zh-CN"/>
              </w:rPr>
              <w:t>市级的</w:t>
            </w:r>
            <w:r>
              <w:rPr>
                <w:rFonts w:hint="eastAsia" w:ascii="仿宋" w:hAnsi="仿宋" w:eastAsia="仿宋" w:cs="仿宋"/>
                <w:color w:val="auto"/>
                <w:sz w:val="32"/>
                <w:szCs w:val="32"/>
                <w:highlight w:val="none"/>
              </w:rPr>
              <w:t>每项得</w:t>
            </w:r>
            <w:r>
              <w:rPr>
                <w:rFonts w:hint="eastAsia" w:ascii="仿宋" w:hAnsi="仿宋" w:eastAsia="仿宋" w:cs="仿宋"/>
                <w:color w:val="auto"/>
                <w:sz w:val="32"/>
                <w:szCs w:val="32"/>
                <w:highlight w:val="none"/>
                <w:lang w:val="en-US" w:eastAsia="zh-CN"/>
              </w:rPr>
              <w:t>0.5</w:t>
            </w:r>
            <w:r>
              <w:rPr>
                <w:rFonts w:hint="eastAsia" w:ascii="仿宋" w:hAnsi="仿宋" w:eastAsia="仿宋" w:cs="仿宋"/>
                <w:color w:val="auto"/>
                <w:sz w:val="32"/>
                <w:szCs w:val="32"/>
                <w:highlight w:val="none"/>
              </w:rPr>
              <w:t>分，本项最高得</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注:提供相关证书原件扫描件加盖投标人电子公章。 以国家、 省政府或行业行政主管部门或经民政部门批准成立的相关行业协会颁发的获奖证书或获奖正式文件为准，如提供相关行业协会颁发的获奖证书或获奖正式文件，则须同时提供该行业协会在“全国社会组织信用信息公示平台”的登记信息查询结果网页打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5" w:hRule="atLeast"/>
        </w:trPr>
        <w:tc>
          <w:tcPr>
            <w:tcW w:w="1526" w:type="dxa"/>
            <w:vAlign w:val="center"/>
          </w:tcPr>
          <w:p>
            <w:pPr>
              <w:jc w:val="center"/>
              <w:rPr>
                <w:rFonts w:hint="eastAsia" w:ascii="仿宋" w:hAnsi="仿宋" w:eastAsia="仿宋" w:cs="仿宋"/>
                <w:color w:val="auto"/>
                <w:sz w:val="32"/>
                <w:szCs w:val="32"/>
                <w:highlight w:val="none"/>
              </w:rPr>
            </w:pPr>
            <w:bookmarkStart w:id="0" w:name="_Hlk219131760"/>
            <w:r>
              <w:rPr>
                <w:rFonts w:hint="eastAsia" w:ascii="仿宋" w:hAnsi="仿宋" w:eastAsia="仿宋" w:cs="仿宋"/>
                <w:color w:val="auto"/>
                <w:sz w:val="32"/>
                <w:szCs w:val="32"/>
                <w:highlight w:val="none"/>
              </w:rPr>
              <w:t>同类项目业绩</w:t>
            </w:r>
            <w:bookmarkEnd w:id="0"/>
          </w:p>
        </w:tc>
        <w:tc>
          <w:tcPr>
            <w:tcW w:w="1276" w:type="dxa"/>
            <w:vAlign w:val="center"/>
          </w:tcPr>
          <w:p>
            <w:pPr>
              <w:jc w:val="cente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val="en-US" w:eastAsia="zh-CN"/>
              </w:rPr>
              <w:t>4</w:t>
            </w:r>
            <w:r>
              <w:rPr>
                <w:rFonts w:hint="eastAsia" w:ascii="仿宋" w:hAnsi="仿宋" w:eastAsia="仿宋" w:cs="仿宋"/>
                <w:color w:val="auto"/>
                <w:sz w:val="32"/>
                <w:szCs w:val="32"/>
                <w:highlight w:val="none"/>
              </w:rPr>
              <w:t>分</w:t>
            </w:r>
          </w:p>
        </w:tc>
        <w:tc>
          <w:tcPr>
            <w:tcW w:w="5720" w:type="dxa"/>
            <w:vAlign w:val="top"/>
          </w:tcPr>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投标人自202</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rPr>
              <w:t>年1月1日（以合同签订日期为准）以来</w:t>
            </w:r>
            <w:r>
              <w:rPr>
                <w:rFonts w:hint="eastAsia" w:ascii="仿宋" w:hAnsi="仿宋" w:eastAsia="仿宋" w:cs="仿宋"/>
                <w:color w:val="auto"/>
                <w:sz w:val="32"/>
                <w:szCs w:val="32"/>
                <w:highlight w:val="none"/>
                <w:lang w:val="en-US" w:eastAsia="zh-CN"/>
              </w:rPr>
              <w:t>造价咨询服务</w:t>
            </w:r>
            <w:r>
              <w:rPr>
                <w:rFonts w:hint="eastAsia" w:ascii="仿宋" w:hAnsi="仿宋" w:eastAsia="仿宋" w:cs="仿宋"/>
                <w:color w:val="auto"/>
                <w:sz w:val="32"/>
                <w:szCs w:val="32"/>
                <w:highlight w:val="none"/>
              </w:rPr>
              <w:t>项目业绩，每提供一项得1分，最高得</w:t>
            </w:r>
            <w:r>
              <w:rPr>
                <w:rFonts w:hint="eastAsia" w:ascii="仿宋" w:hAnsi="仿宋" w:eastAsia="仿宋" w:cs="仿宋"/>
                <w:color w:val="auto"/>
                <w:sz w:val="32"/>
                <w:szCs w:val="32"/>
                <w:highlight w:val="none"/>
                <w:lang w:val="en-US" w:eastAsia="zh-CN"/>
              </w:rPr>
              <w:t>4</w:t>
            </w:r>
            <w:r>
              <w:rPr>
                <w:rFonts w:hint="eastAsia" w:ascii="仿宋" w:hAnsi="仿宋" w:eastAsia="仿宋" w:cs="仿宋"/>
                <w:color w:val="auto"/>
                <w:sz w:val="32"/>
                <w:szCs w:val="32"/>
                <w:highlight w:val="none"/>
              </w:rPr>
              <w:t>分。 注：须同时提供合同关键页扫描件（合同首页、服务内容、金额页、签字盖章页）并加盖公章作为评分依据，否则不得分。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1" w:hRule="atLeast"/>
        </w:trPr>
        <w:tc>
          <w:tcPr>
            <w:tcW w:w="1526" w:type="dxa"/>
            <w:vMerge w:val="restart"/>
            <w:vAlign w:val="center"/>
          </w:tcPr>
          <w:p>
            <w:pPr>
              <w:jc w:val="cente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人员资质</w:t>
            </w:r>
          </w:p>
        </w:tc>
        <w:tc>
          <w:tcPr>
            <w:tcW w:w="1276" w:type="dxa"/>
            <w:vMerge w:val="restart"/>
            <w:vAlign w:val="center"/>
          </w:tcPr>
          <w:p>
            <w:pPr>
              <w:jc w:val="cente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val="en-US" w:eastAsia="zh-CN"/>
              </w:rPr>
              <w:t>20</w:t>
            </w:r>
            <w:r>
              <w:rPr>
                <w:rFonts w:hint="eastAsia" w:ascii="仿宋" w:hAnsi="仿宋" w:eastAsia="仿宋" w:cs="仿宋"/>
                <w:color w:val="auto"/>
                <w:sz w:val="32"/>
                <w:szCs w:val="32"/>
                <w:highlight w:val="none"/>
              </w:rPr>
              <w:t>分</w:t>
            </w:r>
          </w:p>
        </w:tc>
        <w:tc>
          <w:tcPr>
            <w:tcW w:w="5720" w:type="dxa"/>
            <w:vAlign w:val="top"/>
          </w:tcPr>
          <w:p>
            <w:pPr>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一、项目经理资质情况（</w:t>
            </w:r>
            <w:r>
              <w:rPr>
                <w:rFonts w:hint="eastAsia" w:ascii="仿宋" w:hAnsi="仿宋" w:eastAsia="仿宋" w:cs="仿宋"/>
                <w:b/>
                <w:bCs/>
                <w:color w:val="auto"/>
                <w:sz w:val="32"/>
                <w:szCs w:val="32"/>
                <w:highlight w:val="none"/>
                <w:lang w:val="en-US" w:eastAsia="zh-CN"/>
              </w:rPr>
              <w:t>6</w:t>
            </w:r>
            <w:r>
              <w:rPr>
                <w:rFonts w:hint="eastAsia" w:ascii="仿宋" w:hAnsi="仿宋" w:eastAsia="仿宋" w:cs="仿宋"/>
                <w:b/>
                <w:bCs/>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投标人拟投入本项目的项目经理资质情况：</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（1）具有建筑工程造价类高级（或以上）技术职称得</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rPr>
              <w:t>分，建筑工程造价类中级技术职称得1</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rPr>
              <w:t>分，建设工程（或建筑经济）类中级以下技术职称不得分，本小项最高得</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（2）项目负责人除具有一级造价师注册证且同时具备3个不同专业类别的得</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rPr>
              <w:t>分，具备2个不同专业类别得</w:t>
            </w:r>
            <w:r>
              <w:rPr>
                <w:rFonts w:hint="eastAsia" w:ascii="仿宋" w:hAnsi="仿宋" w:eastAsia="仿宋" w:cs="仿宋"/>
                <w:color w:val="auto"/>
                <w:sz w:val="32"/>
                <w:szCs w:val="32"/>
                <w:highlight w:val="none"/>
                <w:lang w:val="en-US" w:eastAsia="zh-CN"/>
              </w:rPr>
              <w:t>2</w:t>
            </w:r>
            <w:r>
              <w:rPr>
                <w:rFonts w:hint="eastAsia" w:ascii="仿宋" w:hAnsi="仿宋" w:eastAsia="仿宋" w:cs="仿宋"/>
                <w:color w:val="auto"/>
                <w:sz w:val="32"/>
                <w:szCs w:val="32"/>
                <w:highlight w:val="none"/>
              </w:rPr>
              <w:t>分，</w:t>
            </w:r>
            <w:r>
              <w:rPr>
                <w:rFonts w:hint="eastAsia" w:ascii="仿宋" w:hAnsi="仿宋" w:eastAsia="仿宋" w:cs="仿宋"/>
                <w:color w:val="auto"/>
                <w:sz w:val="32"/>
                <w:szCs w:val="32"/>
                <w:highlight w:val="none"/>
                <w:lang w:val="en-US" w:eastAsia="zh-CN"/>
              </w:rPr>
              <w:t>只具备1个专业的</w:t>
            </w:r>
            <w:r>
              <w:rPr>
                <w:rFonts w:hint="eastAsia" w:ascii="仿宋" w:hAnsi="仿宋" w:eastAsia="仿宋" w:cs="仿宋"/>
                <w:color w:val="auto"/>
                <w:sz w:val="32"/>
                <w:szCs w:val="32"/>
                <w:highlight w:val="none"/>
              </w:rPr>
              <w:t>得</w:t>
            </w:r>
            <w:r>
              <w:rPr>
                <w:rFonts w:hint="eastAsia" w:ascii="仿宋" w:hAnsi="仿宋" w:eastAsia="仿宋" w:cs="仿宋"/>
                <w:color w:val="auto"/>
                <w:sz w:val="32"/>
                <w:szCs w:val="32"/>
                <w:highlight w:val="none"/>
                <w:lang w:val="en-US" w:eastAsia="zh-CN"/>
              </w:rPr>
              <w:t>1</w:t>
            </w:r>
            <w:r>
              <w:rPr>
                <w:rFonts w:hint="eastAsia" w:ascii="仿宋" w:hAnsi="仿宋" w:eastAsia="仿宋" w:cs="仿宋"/>
                <w:color w:val="auto"/>
                <w:sz w:val="32"/>
                <w:szCs w:val="32"/>
                <w:highlight w:val="none"/>
              </w:rPr>
              <w:t>分，本小项最高得</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rPr>
              <w:t>分</w:t>
            </w:r>
          </w:p>
          <w:p>
            <w:pPr>
              <w:ind w:firstLine="640" w:firstLineChars="200"/>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注：需提供项目经理以上证书复印件以及投标截止时间前6个月内任意连续三个月在本单位任职的社保缴纳证明复印件加盖公章，未提供证明材料或者提供的证明材料不符合要求或提供的证明材料不清晰导致评审专家无法辨认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1" w:hRule="atLeast"/>
        </w:trPr>
        <w:tc>
          <w:tcPr>
            <w:tcW w:w="1526" w:type="dxa"/>
            <w:vMerge w:val="continue"/>
            <w:vAlign w:val="center"/>
          </w:tcPr>
          <w:p>
            <w:pPr>
              <w:jc w:val="center"/>
              <w:rPr>
                <w:rFonts w:hint="eastAsia" w:ascii="仿宋" w:hAnsi="仿宋" w:eastAsia="仿宋" w:cs="仿宋"/>
                <w:color w:val="auto"/>
                <w:sz w:val="32"/>
                <w:szCs w:val="32"/>
                <w:highlight w:val="none"/>
              </w:rPr>
            </w:pPr>
          </w:p>
        </w:tc>
        <w:tc>
          <w:tcPr>
            <w:tcW w:w="1276" w:type="dxa"/>
            <w:vMerge w:val="continue"/>
            <w:vAlign w:val="center"/>
          </w:tcPr>
          <w:p>
            <w:pPr>
              <w:jc w:val="center"/>
              <w:rPr>
                <w:rFonts w:hint="eastAsia" w:ascii="仿宋" w:hAnsi="仿宋" w:eastAsia="仿宋" w:cs="仿宋"/>
                <w:color w:val="auto"/>
                <w:sz w:val="32"/>
                <w:szCs w:val="32"/>
                <w:highlight w:val="none"/>
              </w:rPr>
            </w:pPr>
          </w:p>
        </w:tc>
        <w:tc>
          <w:tcPr>
            <w:tcW w:w="5720" w:type="dxa"/>
            <w:vAlign w:val="top"/>
          </w:tcPr>
          <w:p>
            <w:pPr>
              <w:rPr>
                <w:rFonts w:hint="eastAsia" w:ascii="仿宋" w:hAnsi="仿宋" w:eastAsia="仿宋" w:cs="仿宋"/>
                <w:b/>
                <w:bCs/>
                <w:color w:val="auto"/>
                <w:sz w:val="32"/>
                <w:szCs w:val="32"/>
                <w:highlight w:val="none"/>
                <w:lang w:eastAsia="zh-CN"/>
              </w:rPr>
            </w:pPr>
            <w:r>
              <w:rPr>
                <w:rFonts w:hint="eastAsia" w:ascii="仿宋" w:hAnsi="仿宋" w:eastAsia="仿宋" w:cs="仿宋"/>
                <w:b/>
                <w:bCs/>
                <w:color w:val="auto"/>
                <w:sz w:val="32"/>
                <w:szCs w:val="32"/>
                <w:highlight w:val="none"/>
                <w:lang w:val="en-US" w:eastAsia="zh-CN"/>
              </w:rPr>
              <w:t>二</w:t>
            </w:r>
            <w:r>
              <w:rPr>
                <w:rFonts w:hint="eastAsia" w:ascii="仿宋" w:hAnsi="仿宋" w:eastAsia="仿宋" w:cs="仿宋"/>
                <w:b/>
                <w:bCs/>
                <w:color w:val="auto"/>
                <w:sz w:val="32"/>
                <w:szCs w:val="32"/>
                <w:highlight w:val="none"/>
              </w:rPr>
              <w:t>、项目团队人员资质情况（</w:t>
            </w:r>
            <w:r>
              <w:rPr>
                <w:rFonts w:hint="eastAsia" w:ascii="仿宋" w:hAnsi="仿宋" w:eastAsia="仿宋" w:cs="仿宋"/>
                <w:b/>
                <w:bCs/>
                <w:color w:val="auto"/>
                <w:sz w:val="32"/>
                <w:szCs w:val="32"/>
                <w:highlight w:val="none"/>
                <w:lang w:val="en-US" w:eastAsia="zh-CN"/>
              </w:rPr>
              <w:t>14</w:t>
            </w:r>
            <w:r>
              <w:rPr>
                <w:rFonts w:hint="eastAsia" w:ascii="仿宋" w:hAnsi="仿宋" w:eastAsia="仿宋" w:cs="仿宋"/>
                <w:b/>
                <w:bCs/>
                <w:color w:val="auto"/>
                <w:sz w:val="32"/>
                <w:szCs w:val="32"/>
                <w:highlight w:val="none"/>
              </w:rPr>
              <w:t>分）</w:t>
            </w:r>
            <w:r>
              <w:rPr>
                <w:rFonts w:hint="eastAsia" w:ascii="仿宋" w:hAnsi="仿宋" w:eastAsia="仿宋" w:cs="仿宋"/>
                <w:b/>
                <w:bCs/>
                <w:color w:val="auto"/>
                <w:sz w:val="32"/>
                <w:szCs w:val="32"/>
                <w:highlight w:val="none"/>
                <w:lang w:eastAsia="zh-CN"/>
              </w:rPr>
              <w:t>：</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拟投入本项目的人员中（项目经理除外）：</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（1）每增加一名同时具有工程造价类副高级</w:t>
            </w:r>
            <w:r>
              <w:rPr>
                <w:rFonts w:hint="eastAsia" w:ascii="仿宋" w:hAnsi="仿宋" w:eastAsia="仿宋" w:cs="仿宋"/>
                <w:color w:val="auto"/>
                <w:sz w:val="32"/>
                <w:szCs w:val="32"/>
                <w:highlight w:val="none"/>
                <w:lang w:val="en-US" w:eastAsia="zh-CN"/>
              </w:rPr>
              <w:t>或以上</w:t>
            </w:r>
            <w:r>
              <w:rPr>
                <w:rFonts w:hint="eastAsia" w:ascii="仿宋" w:hAnsi="仿宋" w:eastAsia="仿宋" w:cs="仿宋"/>
                <w:color w:val="auto"/>
                <w:sz w:val="32"/>
                <w:szCs w:val="32"/>
                <w:highlight w:val="none"/>
              </w:rPr>
              <w:t>工程师技术职称和土建（或土木建筑工程）专业注册造价工程师（或注册一级造价工程师）的得</w:t>
            </w:r>
            <w:r>
              <w:rPr>
                <w:rFonts w:hint="eastAsia" w:ascii="仿宋" w:hAnsi="仿宋" w:eastAsia="仿宋" w:cs="仿宋"/>
                <w:color w:val="auto"/>
                <w:sz w:val="32"/>
                <w:szCs w:val="32"/>
                <w:highlight w:val="none"/>
                <w:lang w:val="en-US" w:eastAsia="zh-CN"/>
              </w:rPr>
              <w:t>2</w:t>
            </w:r>
            <w:r>
              <w:rPr>
                <w:rFonts w:hint="eastAsia" w:ascii="仿宋" w:hAnsi="仿宋" w:eastAsia="仿宋" w:cs="仿宋"/>
                <w:color w:val="auto"/>
                <w:sz w:val="32"/>
                <w:szCs w:val="32"/>
                <w:highlight w:val="none"/>
              </w:rPr>
              <w:t>分，本小项最高得分</w:t>
            </w:r>
            <w:r>
              <w:rPr>
                <w:rFonts w:hint="eastAsia" w:ascii="仿宋" w:hAnsi="仿宋" w:eastAsia="仿宋" w:cs="仿宋"/>
                <w:color w:val="auto"/>
                <w:sz w:val="32"/>
                <w:szCs w:val="32"/>
                <w:highlight w:val="none"/>
                <w:lang w:val="en-US" w:eastAsia="zh-CN"/>
              </w:rPr>
              <w:t>8</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（2）每增加一名同时具有工程造价类副高级</w:t>
            </w:r>
            <w:r>
              <w:rPr>
                <w:rFonts w:hint="eastAsia" w:ascii="仿宋" w:hAnsi="仿宋" w:eastAsia="仿宋" w:cs="仿宋"/>
                <w:color w:val="auto"/>
                <w:sz w:val="32"/>
                <w:szCs w:val="32"/>
                <w:highlight w:val="none"/>
                <w:lang w:val="en-US" w:eastAsia="zh-CN"/>
              </w:rPr>
              <w:t>或以上</w:t>
            </w:r>
            <w:r>
              <w:rPr>
                <w:rFonts w:hint="eastAsia" w:ascii="仿宋" w:hAnsi="仿宋" w:eastAsia="仿宋" w:cs="仿宋"/>
                <w:color w:val="auto"/>
                <w:sz w:val="32"/>
                <w:szCs w:val="32"/>
                <w:highlight w:val="none"/>
              </w:rPr>
              <w:t>工程师技术职称和安装专业注册造价工程师（或注册一级造价工程师）的得</w:t>
            </w:r>
            <w:r>
              <w:rPr>
                <w:rFonts w:hint="eastAsia" w:ascii="仿宋" w:hAnsi="仿宋" w:eastAsia="仿宋" w:cs="仿宋"/>
                <w:color w:val="auto"/>
                <w:sz w:val="32"/>
                <w:szCs w:val="32"/>
                <w:highlight w:val="none"/>
                <w:lang w:val="en-US" w:eastAsia="zh-CN"/>
              </w:rPr>
              <w:t>2</w:t>
            </w:r>
            <w:r>
              <w:rPr>
                <w:rFonts w:hint="eastAsia" w:ascii="仿宋" w:hAnsi="仿宋" w:eastAsia="仿宋" w:cs="仿宋"/>
                <w:color w:val="auto"/>
                <w:sz w:val="32"/>
                <w:szCs w:val="32"/>
                <w:highlight w:val="none"/>
              </w:rPr>
              <w:t>分，本小项最高得分</w:t>
            </w:r>
            <w:r>
              <w:rPr>
                <w:rFonts w:hint="eastAsia" w:ascii="仿宋" w:hAnsi="仿宋" w:eastAsia="仿宋" w:cs="仿宋"/>
                <w:color w:val="auto"/>
                <w:sz w:val="32"/>
                <w:szCs w:val="32"/>
                <w:highlight w:val="none"/>
                <w:lang w:val="en-US" w:eastAsia="zh-CN"/>
              </w:rPr>
              <w:t>6</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注：投标人须提供相应证书扫描件和相应人员至投标截止日前6个月内任意连续3个月的社保记录或单位代缴个人所得税税单的扫描件为证明材料，不满足或未提供得0分。（同一人具有多个证书，只计算其中一个分值高的证书，其他证书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1" w:hRule="atLeast"/>
        </w:trPr>
        <w:tc>
          <w:tcPr>
            <w:tcW w:w="1526" w:type="dxa"/>
            <w:vMerge w:val="restart"/>
            <w:vAlign w:val="center"/>
          </w:tcPr>
          <w:p>
            <w:pPr>
              <w:jc w:val="cente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服务方案</w:t>
            </w:r>
          </w:p>
        </w:tc>
        <w:tc>
          <w:tcPr>
            <w:tcW w:w="1276" w:type="dxa"/>
            <w:vMerge w:val="restart"/>
            <w:vAlign w:val="center"/>
          </w:tcPr>
          <w:p>
            <w:pPr>
              <w:jc w:val="cente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lang w:val="en-US" w:eastAsia="zh-CN"/>
              </w:rPr>
              <w:t>35</w:t>
            </w:r>
            <w:r>
              <w:rPr>
                <w:rFonts w:hint="eastAsia" w:ascii="仿宋" w:hAnsi="仿宋" w:eastAsia="仿宋" w:cs="仿宋"/>
                <w:color w:val="auto"/>
                <w:sz w:val="32"/>
                <w:szCs w:val="32"/>
                <w:highlight w:val="none"/>
              </w:rPr>
              <w:t>分</w:t>
            </w:r>
          </w:p>
        </w:tc>
        <w:tc>
          <w:tcPr>
            <w:tcW w:w="5720" w:type="dxa"/>
            <w:vAlign w:val="top"/>
          </w:tcPr>
          <w:p>
            <w:pPr>
              <w:rPr>
                <w:rFonts w:ascii="仿宋" w:hAnsi="仿宋" w:eastAsia="仿宋" w:cs="仿宋"/>
                <w:color w:val="auto"/>
                <w:sz w:val="32"/>
                <w:szCs w:val="32"/>
                <w:highlight w:val="none"/>
              </w:rPr>
            </w:pPr>
            <w:r>
              <w:rPr>
                <w:rFonts w:hint="eastAsia" w:ascii="仿宋" w:hAnsi="仿宋" w:eastAsia="仿宋" w:cs="仿宋"/>
                <w:b/>
                <w:color w:val="auto"/>
                <w:sz w:val="32"/>
                <w:szCs w:val="32"/>
                <w:highlight w:val="none"/>
                <w:lang w:eastAsia="zh-CN"/>
              </w:rPr>
              <w:t>一、</w:t>
            </w:r>
            <w:r>
              <w:rPr>
                <w:rFonts w:hint="eastAsia" w:ascii="仿宋" w:hAnsi="仿宋" w:eastAsia="仿宋" w:cs="仿宋"/>
                <w:b/>
                <w:color w:val="auto"/>
                <w:sz w:val="32"/>
                <w:szCs w:val="32"/>
                <w:highlight w:val="none"/>
              </w:rPr>
              <w:t>根据</w:t>
            </w:r>
            <w:r>
              <w:rPr>
                <w:rFonts w:hint="eastAsia" w:ascii="仿宋" w:hAnsi="仿宋" w:eastAsia="仿宋" w:cs="仿宋"/>
                <w:b/>
                <w:bCs/>
                <w:color w:val="auto"/>
                <w:sz w:val="32"/>
                <w:szCs w:val="32"/>
                <w:highlight w:val="none"/>
              </w:rPr>
              <w:t>投标人</w:t>
            </w:r>
            <w:r>
              <w:rPr>
                <w:rFonts w:hint="eastAsia" w:ascii="仿宋" w:hAnsi="仿宋" w:eastAsia="仿宋" w:cs="仿宋"/>
                <w:b/>
                <w:color w:val="auto"/>
                <w:sz w:val="32"/>
                <w:szCs w:val="32"/>
                <w:highlight w:val="none"/>
              </w:rPr>
              <w:t>针对本项目拟定的总体服务方案进行评审</w:t>
            </w:r>
            <w:r>
              <w:rPr>
                <w:rFonts w:hint="eastAsia" w:ascii="仿宋" w:hAnsi="仿宋" w:eastAsia="仿宋" w:cs="仿宋"/>
                <w:color w:val="auto"/>
                <w:sz w:val="32"/>
                <w:szCs w:val="32"/>
                <w:highlight w:val="none"/>
              </w:rPr>
              <w:t>：</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1、总体服务方案非常科学合理、思路清晰且可操作性强，非常有利于项目实施的得1</w:t>
            </w:r>
            <w:r>
              <w:rPr>
                <w:rFonts w:hint="eastAsia" w:ascii="仿宋" w:hAnsi="仿宋" w:eastAsia="仿宋" w:cs="仿宋"/>
                <w:color w:val="auto"/>
                <w:sz w:val="32"/>
                <w:szCs w:val="32"/>
                <w:highlight w:val="none"/>
                <w:lang w:val="en-US" w:eastAsia="zh-CN"/>
              </w:rPr>
              <w:t>3</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2、总体服务方案科学合理，思路清晰且有可操作性，有利于项目实施的得9分；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3、总体服务方案基本科学合理，思路清晰度一般，基本有利于项目实施的得</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4、无，不得分。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1" w:hRule="atLeast"/>
        </w:trPr>
        <w:tc>
          <w:tcPr>
            <w:tcW w:w="1526" w:type="dxa"/>
            <w:vMerge w:val="continue"/>
            <w:vAlign w:val="center"/>
          </w:tcPr>
          <w:p>
            <w:pPr>
              <w:jc w:val="center"/>
              <w:rPr>
                <w:rFonts w:hint="eastAsia" w:ascii="仿宋" w:hAnsi="仿宋" w:eastAsia="仿宋" w:cs="仿宋"/>
                <w:color w:val="auto"/>
                <w:sz w:val="32"/>
                <w:szCs w:val="32"/>
                <w:highlight w:val="none"/>
              </w:rPr>
            </w:pPr>
          </w:p>
        </w:tc>
        <w:tc>
          <w:tcPr>
            <w:tcW w:w="1276" w:type="dxa"/>
            <w:vMerge w:val="continue"/>
            <w:vAlign w:val="center"/>
          </w:tcPr>
          <w:p>
            <w:pPr>
              <w:jc w:val="center"/>
              <w:rPr>
                <w:rFonts w:hint="eastAsia" w:ascii="仿宋" w:hAnsi="仿宋" w:eastAsia="仿宋" w:cs="仿宋"/>
                <w:color w:val="auto"/>
                <w:sz w:val="32"/>
                <w:szCs w:val="32"/>
                <w:highlight w:val="none"/>
              </w:rPr>
            </w:pPr>
          </w:p>
        </w:tc>
        <w:tc>
          <w:tcPr>
            <w:tcW w:w="5720" w:type="dxa"/>
            <w:vAlign w:val="top"/>
          </w:tcPr>
          <w:p>
            <w:pPr>
              <w:rPr>
                <w:rFonts w:ascii="仿宋" w:hAnsi="仿宋" w:eastAsia="仿宋" w:cs="仿宋"/>
                <w:b/>
                <w:color w:val="auto"/>
                <w:sz w:val="32"/>
                <w:szCs w:val="32"/>
                <w:highlight w:val="none"/>
              </w:rPr>
            </w:pPr>
            <w:r>
              <w:rPr>
                <w:rFonts w:hint="eastAsia" w:ascii="仿宋" w:hAnsi="仿宋" w:eastAsia="仿宋" w:cs="仿宋"/>
                <w:b/>
                <w:color w:val="auto"/>
                <w:sz w:val="32"/>
                <w:szCs w:val="32"/>
                <w:highlight w:val="none"/>
                <w:lang w:eastAsia="zh-CN"/>
              </w:rPr>
              <w:t>二、</w:t>
            </w:r>
            <w:r>
              <w:rPr>
                <w:rFonts w:hint="eastAsia" w:ascii="仿宋" w:hAnsi="仿宋" w:eastAsia="仿宋" w:cs="仿宋"/>
                <w:b/>
                <w:color w:val="auto"/>
                <w:sz w:val="32"/>
                <w:szCs w:val="32"/>
                <w:highlight w:val="none"/>
              </w:rPr>
              <w:t>根据投标人针对本项目所拟定的造价咨询质量保证措施进行评审：</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1、造价咨询质量保证措施相对完整科学、可行性强，完全满足或优于招标文件要求的得1</w:t>
            </w:r>
            <w:r>
              <w:rPr>
                <w:rFonts w:hint="eastAsia" w:ascii="仿宋" w:hAnsi="仿宋" w:eastAsia="仿宋" w:cs="仿宋"/>
                <w:color w:val="auto"/>
                <w:sz w:val="32"/>
                <w:szCs w:val="32"/>
                <w:highlight w:val="none"/>
                <w:lang w:val="en-US" w:eastAsia="zh-CN"/>
              </w:rPr>
              <w:t>1</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2、造价咨询质量保证措施完整科学、具有一定的可行性，符合招标文件要求的得8分；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3、造价咨询质量保证措施一般，个别响应条款与项目需求有所偏差，不能完全满足招标文件要求的得</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4、无不得分。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1" w:hRule="atLeast"/>
        </w:trPr>
        <w:tc>
          <w:tcPr>
            <w:tcW w:w="1526" w:type="dxa"/>
            <w:vMerge w:val="continue"/>
            <w:vAlign w:val="center"/>
          </w:tcPr>
          <w:p>
            <w:pPr>
              <w:jc w:val="center"/>
              <w:rPr>
                <w:rFonts w:hint="eastAsia" w:ascii="仿宋" w:hAnsi="仿宋" w:eastAsia="仿宋" w:cs="仿宋"/>
                <w:color w:val="auto"/>
                <w:sz w:val="32"/>
                <w:szCs w:val="32"/>
                <w:highlight w:val="none"/>
              </w:rPr>
            </w:pPr>
          </w:p>
        </w:tc>
        <w:tc>
          <w:tcPr>
            <w:tcW w:w="1276" w:type="dxa"/>
            <w:vMerge w:val="continue"/>
            <w:vAlign w:val="center"/>
          </w:tcPr>
          <w:p>
            <w:pPr>
              <w:jc w:val="center"/>
              <w:rPr>
                <w:rFonts w:hint="eastAsia" w:ascii="仿宋" w:hAnsi="仿宋" w:eastAsia="仿宋" w:cs="仿宋"/>
                <w:color w:val="auto"/>
                <w:sz w:val="32"/>
                <w:szCs w:val="32"/>
                <w:highlight w:val="none"/>
              </w:rPr>
            </w:pPr>
          </w:p>
        </w:tc>
        <w:tc>
          <w:tcPr>
            <w:tcW w:w="5720" w:type="dxa"/>
            <w:vAlign w:val="top"/>
          </w:tcPr>
          <w:p>
            <w:pPr>
              <w:rPr>
                <w:rFonts w:ascii="仿宋" w:hAnsi="仿宋" w:eastAsia="仿宋" w:cs="仿宋"/>
                <w:b/>
                <w:color w:val="auto"/>
                <w:sz w:val="32"/>
                <w:szCs w:val="32"/>
                <w:highlight w:val="none"/>
              </w:rPr>
            </w:pPr>
            <w:r>
              <w:rPr>
                <w:rFonts w:hint="eastAsia" w:ascii="仿宋" w:hAnsi="仿宋" w:eastAsia="仿宋" w:cs="仿宋"/>
                <w:b/>
                <w:color w:val="auto"/>
                <w:sz w:val="32"/>
                <w:szCs w:val="32"/>
                <w:highlight w:val="none"/>
                <w:lang w:eastAsia="zh-CN"/>
              </w:rPr>
              <w:t>三、</w:t>
            </w:r>
            <w:r>
              <w:rPr>
                <w:rFonts w:hint="eastAsia" w:ascii="仿宋" w:hAnsi="仿宋" w:eastAsia="仿宋" w:cs="仿宋"/>
                <w:b/>
                <w:color w:val="auto"/>
                <w:sz w:val="32"/>
                <w:szCs w:val="32"/>
                <w:highlight w:val="none"/>
              </w:rPr>
              <w:t>根据投标人针对本项目出现紧急事件所拟定的</w:t>
            </w:r>
            <w:r>
              <w:rPr>
                <w:rFonts w:hint="eastAsia" w:ascii="仿宋" w:hAnsi="仿宋" w:eastAsia="仿宋" w:cs="仿宋"/>
                <w:b/>
                <w:bCs/>
                <w:color w:val="auto"/>
                <w:sz w:val="32"/>
                <w:szCs w:val="32"/>
                <w:highlight w:val="none"/>
              </w:rPr>
              <w:t>应急处理方案</w:t>
            </w:r>
            <w:r>
              <w:rPr>
                <w:rFonts w:hint="eastAsia" w:ascii="仿宋" w:hAnsi="仿宋" w:eastAsia="仿宋" w:cs="仿宋"/>
                <w:b/>
                <w:color w:val="auto"/>
                <w:sz w:val="32"/>
                <w:szCs w:val="32"/>
                <w:highlight w:val="none"/>
              </w:rPr>
              <w:t>进行评审：</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1、应急处理方案考虑非常全面合理周到，非常有利于项目实施的得1</w:t>
            </w:r>
            <w:r>
              <w:rPr>
                <w:rFonts w:hint="eastAsia" w:ascii="仿宋" w:hAnsi="仿宋" w:eastAsia="仿宋" w:cs="仿宋"/>
                <w:color w:val="auto"/>
                <w:sz w:val="32"/>
                <w:szCs w:val="32"/>
                <w:highlight w:val="none"/>
                <w:lang w:val="en-US" w:eastAsia="zh-CN"/>
              </w:rPr>
              <w:t>1</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2、应急处理方案较完善合理，有利于项目实施的得8分；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3、应急处理方案基本可行，基本有利于项目实施的得</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rPr>
              <w:t>分；</w:t>
            </w:r>
          </w:p>
          <w:p>
            <w:pPr>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4、无不得分。</w:t>
            </w:r>
          </w:p>
        </w:tc>
      </w:tr>
    </w:tbl>
    <w:p>
      <w:pPr>
        <w:ind w:firstLine="640" w:firstLineChars="200"/>
        <w:rPr>
          <w:rFonts w:hint="eastAsia" w:ascii="黑体" w:hAnsi="黑体" w:eastAsia="黑体" w:cs="黑体"/>
          <w:sz w:val="32"/>
          <w:szCs w:val="32"/>
        </w:rPr>
      </w:pPr>
      <w:r>
        <w:rPr>
          <w:rFonts w:hint="eastAsia" w:ascii="黑体" w:hAnsi="黑体" w:eastAsia="黑体" w:cs="黑体"/>
          <w:sz w:val="32"/>
          <w:szCs w:val="32"/>
        </w:rPr>
        <w:t>三、评审方法</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1.初步评审：</w:t>
      </w:r>
      <w:bookmarkStart w:id="1" w:name="OLE_LINK1"/>
      <w:r>
        <w:rPr>
          <w:rFonts w:hint="eastAsia" w:ascii="仿宋" w:hAnsi="仿宋" w:eastAsia="仿宋" w:cs="仿宋"/>
          <w:sz w:val="32"/>
          <w:szCs w:val="32"/>
        </w:rPr>
        <w:t>评审委员会</w:t>
      </w:r>
      <w:bookmarkEnd w:id="1"/>
      <w:r>
        <w:rPr>
          <w:rFonts w:hint="eastAsia" w:ascii="仿宋" w:hAnsi="仿宋" w:eastAsia="仿宋" w:cs="仿宋"/>
          <w:sz w:val="32"/>
          <w:szCs w:val="32"/>
        </w:rPr>
        <w:t>对所有报价文件进行符合性审查，检查其是否实质性响应采购文件要求。未通过符合性审查的供应商不得进入详细评审。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2.详细评审：通过初步评审的报价文件，评审委员会将依据上述评分标准，独立对各评审子项进行打分。</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3.汇总评分：汇总各评委的评分，计算各供应商的最终综合得分。</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4.推荐中标候选人：按综合得分从高到低排序，推荐得分最高的供应商为第一中标候选人。</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四、附则</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1.本评审标准是采购文件的组成部分，与采购文件具有同等法律效力。</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2.评审过程中如出现本标准未尽事宜，由评审委员会根据相关法律法规及采购文件的规定集体研究决定。</w:t>
      </w:r>
    </w:p>
    <w:p>
      <w:pPr>
        <w:rPr>
          <w:rFonts w:hint="eastAsia" w:ascii="仿宋" w:hAnsi="仿宋" w:eastAsia="仿宋" w:cs="仿宋"/>
          <w:b/>
          <w:bCs w:val="0"/>
          <w:sz w:val="32"/>
          <w:szCs w:val="32"/>
        </w:rPr>
      </w:pPr>
      <w:r>
        <w:rPr>
          <w:rFonts w:hint="eastAsia" w:ascii="黑体" w:hAnsi="黑体" w:eastAsia="黑体" w:cs="黑体"/>
          <w:sz w:val="32"/>
          <w:szCs w:val="32"/>
        </w:rPr>
        <w:t xml:space="preserve"> </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五、报价文件格式</w:t>
      </w:r>
    </w:p>
    <w:p>
      <w:pPr>
        <w:spacing w:line="360" w:lineRule="auto"/>
        <w:ind w:right="560"/>
        <w:jc w:val="center"/>
        <w:rPr>
          <w:rFonts w:hint="eastAsia" w:ascii="方正小标宋简体" w:hAnsi="方正小标宋简体" w:eastAsia="方正小标宋简体" w:cs="方正小标宋简体"/>
          <w:b w:val="0"/>
          <w:bCs/>
          <w:sz w:val="28"/>
          <w:szCs w:val="28"/>
        </w:rPr>
      </w:pPr>
    </w:p>
    <w:p>
      <w:pPr>
        <w:spacing w:line="360" w:lineRule="auto"/>
        <w:ind w:right="560"/>
        <w:jc w:val="center"/>
        <w:rPr>
          <w:rFonts w:hint="eastAsia" w:ascii="方正小标宋简体" w:hAnsi="方正小标宋简体" w:eastAsia="方正小标宋简体" w:cs="方正小标宋简体"/>
          <w:b w:val="0"/>
          <w:bCs/>
          <w:sz w:val="28"/>
          <w:szCs w:val="28"/>
        </w:rPr>
      </w:pPr>
    </w:p>
    <w:p>
      <w:pPr>
        <w:spacing w:line="360" w:lineRule="auto"/>
        <w:ind w:right="560"/>
        <w:jc w:val="center"/>
        <w:rPr>
          <w:rFonts w:hint="eastAsia" w:ascii="方正小标宋简体" w:hAnsi="方正小标宋简体" w:eastAsia="方正小标宋简体" w:cs="方正小标宋简体"/>
          <w:b w:val="0"/>
          <w:bCs/>
          <w:sz w:val="28"/>
          <w:szCs w:val="28"/>
        </w:rPr>
      </w:pPr>
    </w:p>
    <w:p>
      <w:pPr>
        <w:spacing w:line="360" w:lineRule="auto"/>
        <w:ind w:right="560"/>
        <w:jc w:val="center"/>
        <w:rPr>
          <w:rFonts w:hint="eastAsia" w:ascii="方正小标宋简体" w:hAnsi="方正小标宋简体" w:eastAsia="方正小标宋简体" w:cs="方正小标宋简体"/>
          <w:b w:val="0"/>
          <w:bCs/>
          <w:sz w:val="28"/>
          <w:szCs w:val="28"/>
        </w:rPr>
      </w:pPr>
    </w:p>
    <w:p>
      <w:pPr>
        <w:spacing w:line="360" w:lineRule="auto"/>
        <w:ind w:right="560"/>
        <w:jc w:val="center"/>
        <w:rPr>
          <w:rFonts w:hint="eastAsia" w:ascii="方正小标宋简体" w:hAnsi="方正小标宋简体" w:eastAsia="方正小标宋简体" w:cs="方正小标宋简体"/>
          <w:b w:val="0"/>
          <w:bCs/>
          <w:sz w:val="28"/>
          <w:szCs w:val="28"/>
        </w:rPr>
      </w:pPr>
    </w:p>
    <w:p>
      <w:pPr>
        <w:spacing w:line="360" w:lineRule="auto"/>
        <w:ind w:right="560"/>
        <w:jc w:val="center"/>
        <w:rPr>
          <w:rFonts w:hint="eastAsia" w:ascii="方正小标宋简体" w:hAnsi="方正小标宋简体" w:eastAsia="方正小标宋简体" w:cs="方正小标宋简体"/>
          <w:b w:val="0"/>
          <w:bCs/>
          <w:sz w:val="28"/>
          <w:szCs w:val="28"/>
        </w:rPr>
      </w:pPr>
    </w:p>
    <w:p>
      <w:pPr>
        <w:spacing w:line="360" w:lineRule="auto"/>
        <w:ind w:right="560"/>
        <w:jc w:val="center"/>
        <w:rPr>
          <w:rFonts w:hint="eastAsia" w:ascii="方正小标宋简体" w:hAnsi="方正小标宋简体" w:eastAsia="方正小标宋简体" w:cs="方正小标宋简体"/>
          <w:b w:val="0"/>
          <w:bCs/>
          <w:sz w:val="32"/>
          <w:szCs w:val="32"/>
        </w:rPr>
      </w:pPr>
      <w:r>
        <w:rPr>
          <w:rFonts w:hint="eastAsia" w:ascii="方正小标宋简体" w:hAnsi="方正小标宋简体" w:eastAsia="方正小标宋简体" w:cs="方正小标宋简体"/>
          <w:b w:val="0"/>
          <w:bCs/>
          <w:sz w:val="32"/>
          <w:szCs w:val="32"/>
        </w:rPr>
        <w:t>报</w:t>
      </w:r>
      <w:r>
        <w:rPr>
          <w:rFonts w:hint="eastAsia" w:ascii="方正小标宋简体" w:hAnsi="方正小标宋简体" w:eastAsia="方正小标宋简体" w:cs="方正小标宋简体"/>
          <w:b w:val="0"/>
          <w:bCs/>
          <w:sz w:val="32"/>
          <w:szCs w:val="32"/>
          <w:lang w:val="en-US" w:eastAsia="zh-CN"/>
        </w:rPr>
        <w:t xml:space="preserve"> </w:t>
      </w:r>
      <w:r>
        <w:rPr>
          <w:rFonts w:hint="eastAsia" w:ascii="方正小标宋简体" w:hAnsi="方正小标宋简体" w:eastAsia="方正小标宋简体" w:cs="方正小标宋简体"/>
          <w:b w:val="0"/>
          <w:bCs/>
          <w:sz w:val="32"/>
          <w:szCs w:val="32"/>
        </w:rPr>
        <w:t>价</w:t>
      </w:r>
      <w:r>
        <w:rPr>
          <w:rFonts w:hint="eastAsia" w:ascii="方正小标宋简体" w:hAnsi="方正小标宋简体" w:eastAsia="方正小标宋简体" w:cs="方正小标宋简体"/>
          <w:b w:val="0"/>
          <w:bCs/>
          <w:sz w:val="32"/>
          <w:szCs w:val="32"/>
          <w:lang w:val="en-US" w:eastAsia="zh-CN"/>
        </w:rPr>
        <w:t xml:space="preserve"> </w:t>
      </w:r>
      <w:r>
        <w:rPr>
          <w:rFonts w:hint="eastAsia" w:ascii="方正小标宋简体" w:hAnsi="方正小标宋简体" w:eastAsia="方正小标宋简体" w:cs="方正小标宋简体"/>
          <w:b w:val="0"/>
          <w:bCs/>
          <w:sz w:val="32"/>
          <w:szCs w:val="32"/>
        </w:rPr>
        <w:t>表</w:t>
      </w:r>
    </w:p>
    <w:p>
      <w:pPr>
        <w:spacing w:after="156" w:afterLines="50" w:line="400" w:lineRule="exact"/>
        <w:rPr>
          <w:rFonts w:hint="eastAsia" w:ascii="仿宋_GB2312" w:hAnsi="仿宋_GB2312" w:eastAsia="仿宋_GB2312" w:cs="仿宋_GB2312"/>
          <w:sz w:val="28"/>
          <w:szCs w:val="28"/>
          <w:lang w:val="en-US" w:eastAsia="zh-CN"/>
        </w:rPr>
      </w:pPr>
    </w:p>
    <w:p>
      <w:pPr>
        <w:spacing w:after="156" w:afterLines="50" w:line="400" w:lineRule="exact"/>
        <w:rPr>
          <w:rFonts w:hint="eastAsia" w:ascii="仿宋_GB2312" w:hAnsi="仿宋_GB2312" w:eastAsia="仿宋_GB2312" w:cs="仿宋_GB2312"/>
          <w:b/>
          <w:sz w:val="28"/>
          <w:szCs w:val="28"/>
        </w:rPr>
      </w:pPr>
      <w:r>
        <w:rPr>
          <w:rFonts w:hint="eastAsia" w:ascii="仿宋_GB2312" w:hAnsi="仿宋_GB2312" w:eastAsia="仿宋_GB2312" w:cs="仿宋_GB2312"/>
          <w:sz w:val="28"/>
          <w:szCs w:val="28"/>
          <w:lang w:val="en-US" w:eastAsia="zh-CN"/>
        </w:rPr>
        <w:t>报价单位</w:t>
      </w:r>
      <w:r>
        <w:rPr>
          <w:rFonts w:hint="eastAsia" w:ascii="仿宋_GB2312" w:hAnsi="仿宋_GB2312" w:eastAsia="仿宋_GB2312" w:cs="仿宋_GB2312"/>
          <w:sz w:val="28"/>
          <w:szCs w:val="28"/>
        </w:rPr>
        <w:t>名称：</w:t>
      </w:r>
    </w:p>
    <w:p>
      <w:pPr>
        <w:spacing w:after="156" w:afterLines="50" w:line="400" w:lineRule="exact"/>
        <w:rPr>
          <w:rFonts w:hint="eastAsia" w:ascii="仿宋_GB2312" w:hAnsi="仿宋_GB2312" w:eastAsia="仿宋_GB2312" w:cs="仿宋_GB2312"/>
          <w:b w:val="0"/>
          <w:bCs/>
          <w:sz w:val="28"/>
          <w:szCs w:val="28"/>
        </w:rPr>
      </w:pPr>
      <w:r>
        <w:rPr>
          <w:rFonts w:hint="eastAsia" w:ascii="仿宋_GB2312" w:hAnsi="仿宋_GB2312" w:eastAsia="仿宋_GB2312" w:cs="仿宋_GB2312"/>
          <w:sz w:val="28"/>
          <w:szCs w:val="28"/>
        </w:rPr>
        <w:t>项目名称：广东省档案馆消防系统升级改造项目造价咨询服务</w:t>
      </w:r>
      <w:r>
        <w:rPr>
          <w:rFonts w:hint="eastAsia" w:ascii="仿宋_GB2312" w:hAnsi="仿宋_GB2312" w:eastAsia="仿宋_GB2312" w:cs="仿宋_GB2312"/>
          <w:b w:val="0"/>
          <w:bCs/>
          <w:sz w:val="28"/>
          <w:szCs w:val="28"/>
        </w:rPr>
        <w:t>报价表</w:t>
      </w:r>
    </w:p>
    <w:p>
      <w:pPr>
        <w:pStyle w:val="2"/>
        <w:numPr>
          <w:ilvl w:val="0"/>
          <w:numId w:val="0"/>
        </w:numPr>
        <w:ind w:leftChars="0"/>
        <w:rPr>
          <w:rFonts w:hint="eastAsia" w:ascii="仿宋_GB2312" w:hAnsi="仿宋_GB2312" w:eastAsia="仿宋_GB2312" w:cs="仿宋_GB2312"/>
          <w:sz w:val="28"/>
          <w:szCs w:val="28"/>
        </w:rPr>
      </w:pPr>
    </w:p>
    <w:tbl>
      <w:tblPr>
        <w:tblStyle w:val="7"/>
        <w:tblW w:w="8419" w:type="dxa"/>
        <w:jc w:val="center"/>
        <w:tblInd w:w="0" w:type="dxa"/>
        <w:tblLayout w:type="fixed"/>
        <w:tblCellMar>
          <w:top w:w="0" w:type="dxa"/>
          <w:left w:w="108" w:type="dxa"/>
          <w:bottom w:w="0" w:type="dxa"/>
          <w:right w:w="108" w:type="dxa"/>
        </w:tblCellMar>
      </w:tblPr>
      <w:tblGrid>
        <w:gridCol w:w="3336"/>
        <w:gridCol w:w="1683"/>
        <w:gridCol w:w="984"/>
        <w:gridCol w:w="1600"/>
        <w:gridCol w:w="816"/>
      </w:tblGrid>
      <w:tr>
        <w:tblPrEx>
          <w:tblLayout w:type="fixed"/>
          <w:tblCellMar>
            <w:top w:w="0" w:type="dxa"/>
            <w:left w:w="108" w:type="dxa"/>
            <w:bottom w:w="0" w:type="dxa"/>
            <w:right w:w="108" w:type="dxa"/>
          </w:tblCellMar>
        </w:tblPrEx>
        <w:trPr>
          <w:trHeight w:val="1037" w:hRule="atLeast"/>
          <w:jc w:val="center"/>
        </w:trPr>
        <w:tc>
          <w:tcPr>
            <w:tcW w:w="3336" w:type="dxa"/>
            <w:tcBorders>
              <w:top w:val="single" w:color="auto" w:sz="4" w:space="0"/>
              <w:left w:val="single" w:color="auto" w:sz="4" w:space="0"/>
              <w:bottom w:val="single" w:color="auto" w:sz="8" w:space="0"/>
              <w:right w:val="single" w:color="auto" w:sz="8"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val="0"/>
                <w:bCs w:val="0"/>
                <w:kern w:val="0"/>
                <w:sz w:val="28"/>
                <w:szCs w:val="28"/>
                <w:lang w:val="en-US" w:eastAsia="zh-CN"/>
              </w:rPr>
            </w:pPr>
            <w:r>
              <w:rPr>
                <w:rFonts w:hint="eastAsia" w:ascii="仿宋_GB2312" w:hAnsi="仿宋_GB2312" w:eastAsia="仿宋_GB2312" w:cs="仿宋_GB2312"/>
                <w:b w:val="0"/>
                <w:bCs w:val="0"/>
                <w:kern w:val="0"/>
                <w:sz w:val="28"/>
                <w:szCs w:val="28"/>
                <w:lang w:val="en-US" w:eastAsia="zh-CN"/>
              </w:rPr>
              <w:t>项目名称</w:t>
            </w:r>
          </w:p>
        </w:tc>
        <w:tc>
          <w:tcPr>
            <w:tcW w:w="1683" w:type="dxa"/>
            <w:tcBorders>
              <w:top w:val="single" w:color="auto" w:sz="4" w:space="0"/>
              <w:left w:val="nil"/>
              <w:bottom w:val="single" w:color="auto" w:sz="8" w:space="0"/>
              <w:right w:val="single" w:color="auto" w:sz="8"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val="0"/>
                <w:bCs w:val="0"/>
                <w:kern w:val="0"/>
                <w:sz w:val="28"/>
                <w:szCs w:val="28"/>
                <w:lang w:eastAsia="zh-CN"/>
              </w:rPr>
            </w:pPr>
            <w:r>
              <w:rPr>
                <w:rFonts w:hint="eastAsia" w:ascii="仿宋_GB2312" w:hAnsi="仿宋_GB2312" w:eastAsia="仿宋_GB2312" w:cs="仿宋_GB2312"/>
                <w:b w:val="0"/>
                <w:bCs w:val="0"/>
                <w:kern w:val="0"/>
                <w:sz w:val="28"/>
                <w:szCs w:val="28"/>
                <w:lang w:val="en-US" w:eastAsia="zh-CN"/>
              </w:rPr>
              <w:t>报价（元）</w:t>
            </w:r>
          </w:p>
        </w:tc>
        <w:tc>
          <w:tcPr>
            <w:tcW w:w="984" w:type="dxa"/>
            <w:tcBorders>
              <w:top w:val="single" w:color="auto" w:sz="4" w:space="0"/>
              <w:left w:val="nil"/>
              <w:bottom w:val="single" w:color="auto" w:sz="8" w:space="0"/>
              <w:right w:val="single" w:color="auto" w:sz="8"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val="0"/>
                <w:bCs w:val="0"/>
                <w:kern w:val="0"/>
                <w:sz w:val="28"/>
                <w:szCs w:val="28"/>
                <w:lang w:eastAsia="zh-CN"/>
              </w:rPr>
            </w:pPr>
            <w:r>
              <w:rPr>
                <w:rFonts w:hint="eastAsia" w:ascii="仿宋_GB2312" w:hAnsi="仿宋_GB2312" w:eastAsia="仿宋_GB2312" w:cs="仿宋_GB2312"/>
                <w:b w:val="0"/>
                <w:bCs w:val="0"/>
                <w:kern w:val="0"/>
                <w:sz w:val="28"/>
                <w:szCs w:val="28"/>
                <w:lang w:val="en-US" w:eastAsia="zh-CN"/>
              </w:rPr>
              <w:t>税费（元）</w:t>
            </w:r>
          </w:p>
        </w:tc>
        <w:tc>
          <w:tcPr>
            <w:tcW w:w="1600" w:type="dxa"/>
            <w:tcBorders>
              <w:top w:val="single" w:color="auto" w:sz="4" w:space="0"/>
              <w:left w:val="nil"/>
              <w:bottom w:val="single" w:color="auto" w:sz="8" w:space="0"/>
              <w:right w:val="single" w:color="auto" w:sz="8"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val="0"/>
                <w:bCs w:val="0"/>
                <w:kern w:val="0"/>
                <w:sz w:val="28"/>
                <w:szCs w:val="28"/>
                <w:lang w:eastAsia="zh-CN"/>
              </w:rPr>
            </w:pPr>
            <w:r>
              <w:rPr>
                <w:rFonts w:hint="eastAsia" w:ascii="仿宋_GB2312" w:hAnsi="仿宋_GB2312" w:eastAsia="仿宋_GB2312" w:cs="仿宋_GB2312"/>
                <w:b w:val="0"/>
                <w:bCs w:val="0"/>
                <w:kern w:val="0"/>
                <w:sz w:val="28"/>
                <w:szCs w:val="28"/>
                <w:lang w:val="en-US" w:eastAsia="zh-CN"/>
              </w:rPr>
              <w:t>总价（元）</w:t>
            </w:r>
          </w:p>
        </w:tc>
        <w:tc>
          <w:tcPr>
            <w:tcW w:w="816" w:type="dxa"/>
            <w:tcBorders>
              <w:top w:val="single" w:color="auto" w:sz="4" w:space="0"/>
              <w:left w:val="nil"/>
              <w:bottom w:val="single" w:color="auto" w:sz="8" w:space="0"/>
              <w:right w:val="single" w:color="auto" w:sz="4" w:space="0"/>
            </w:tcBorders>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val="0"/>
                <w:bCs w:val="0"/>
                <w:kern w:val="0"/>
                <w:sz w:val="28"/>
                <w:szCs w:val="28"/>
                <w:lang w:val="en-US" w:eastAsia="zh-CN"/>
              </w:rPr>
            </w:pPr>
            <w:r>
              <w:rPr>
                <w:rFonts w:hint="eastAsia" w:ascii="仿宋_GB2312" w:hAnsi="仿宋_GB2312" w:eastAsia="仿宋_GB2312" w:cs="仿宋_GB2312"/>
                <w:b w:val="0"/>
                <w:bCs w:val="0"/>
                <w:kern w:val="0"/>
                <w:sz w:val="28"/>
                <w:szCs w:val="28"/>
                <w:lang w:val="en-US" w:eastAsia="zh-CN"/>
              </w:rPr>
              <w:t>备注</w:t>
            </w:r>
          </w:p>
        </w:tc>
      </w:tr>
      <w:tr>
        <w:tblPrEx>
          <w:tblLayout w:type="fixed"/>
          <w:tblCellMar>
            <w:top w:w="0" w:type="dxa"/>
            <w:left w:w="108" w:type="dxa"/>
            <w:bottom w:w="0" w:type="dxa"/>
            <w:right w:w="108" w:type="dxa"/>
          </w:tblCellMar>
        </w:tblPrEx>
        <w:trPr>
          <w:trHeight w:val="454" w:hRule="atLeast"/>
          <w:jc w:val="center"/>
        </w:trPr>
        <w:tc>
          <w:tcPr>
            <w:tcW w:w="3336" w:type="dxa"/>
            <w:tcBorders>
              <w:top w:val="nil"/>
              <w:left w:val="single" w:color="auto" w:sz="4" w:space="0"/>
              <w:bottom w:val="single" w:color="auto" w:sz="4" w:space="0"/>
              <w:right w:val="single" w:color="auto" w:sz="8" w:space="0"/>
            </w:tcBorders>
            <w:shd w:val="clear" w:color="auto" w:fill="FFFFFF"/>
            <w:vAlign w:val="center"/>
          </w:tcPr>
          <w:p>
            <w:pPr>
              <w:widowControl/>
              <w:jc w:val="left"/>
              <w:rPr>
                <w:rFonts w:hint="eastAsia" w:ascii="仿宋_GB2312" w:hAnsi="仿宋_GB2312" w:eastAsia="仿宋_GB2312" w:cs="仿宋_GB2312"/>
                <w:b w:val="0"/>
                <w:bCs w:val="0"/>
                <w:kern w:val="0"/>
                <w:sz w:val="28"/>
                <w:szCs w:val="28"/>
                <w:lang w:val="en-US" w:eastAsia="zh-CN"/>
              </w:rPr>
            </w:pPr>
            <w:r>
              <w:rPr>
                <w:rFonts w:hint="eastAsia" w:ascii="仿宋_GB2312" w:hAnsi="仿宋_GB2312" w:eastAsia="仿宋_GB2312" w:cs="仿宋_GB2312"/>
                <w:sz w:val="28"/>
                <w:szCs w:val="28"/>
              </w:rPr>
              <w:t>广东省档案馆消防系统升级改造项目造价咨询服务</w:t>
            </w:r>
          </w:p>
        </w:tc>
        <w:tc>
          <w:tcPr>
            <w:tcW w:w="1683" w:type="dxa"/>
            <w:tcBorders>
              <w:top w:val="nil"/>
              <w:left w:val="nil"/>
              <w:bottom w:val="single" w:color="auto" w:sz="4" w:space="0"/>
              <w:right w:val="single" w:color="auto" w:sz="8" w:space="0"/>
            </w:tcBorders>
            <w:shd w:val="clear" w:color="auto" w:fill="FFFFFF"/>
            <w:vAlign w:val="center"/>
          </w:tcPr>
          <w:p>
            <w:pPr>
              <w:widowControl/>
              <w:jc w:val="center"/>
              <w:rPr>
                <w:rFonts w:hint="eastAsia" w:ascii="仿宋_GB2312" w:hAnsi="仿宋_GB2312" w:eastAsia="仿宋_GB2312" w:cs="仿宋_GB2312"/>
                <w:b w:val="0"/>
                <w:bCs w:val="0"/>
                <w:kern w:val="0"/>
                <w:sz w:val="28"/>
                <w:szCs w:val="28"/>
              </w:rPr>
            </w:pPr>
          </w:p>
        </w:tc>
        <w:tc>
          <w:tcPr>
            <w:tcW w:w="984" w:type="dxa"/>
            <w:tcBorders>
              <w:top w:val="nil"/>
              <w:left w:val="nil"/>
              <w:bottom w:val="single" w:color="auto" w:sz="4" w:space="0"/>
              <w:right w:val="single" w:color="auto" w:sz="8" w:space="0"/>
            </w:tcBorders>
            <w:shd w:val="clear" w:color="auto" w:fill="FFFFFF"/>
            <w:vAlign w:val="center"/>
          </w:tcPr>
          <w:p>
            <w:pPr>
              <w:widowControl/>
              <w:jc w:val="left"/>
              <w:rPr>
                <w:rFonts w:hint="eastAsia" w:ascii="仿宋_GB2312" w:hAnsi="仿宋_GB2312" w:eastAsia="仿宋_GB2312" w:cs="仿宋_GB2312"/>
                <w:b w:val="0"/>
                <w:bCs w:val="0"/>
                <w:sz w:val="28"/>
                <w:szCs w:val="28"/>
              </w:rPr>
            </w:pPr>
          </w:p>
        </w:tc>
        <w:tc>
          <w:tcPr>
            <w:tcW w:w="1600" w:type="dxa"/>
            <w:tcBorders>
              <w:top w:val="nil"/>
              <w:left w:val="nil"/>
              <w:bottom w:val="single" w:color="auto" w:sz="4" w:space="0"/>
              <w:right w:val="single" w:color="auto" w:sz="8" w:space="0"/>
            </w:tcBorders>
            <w:shd w:val="clear" w:color="auto" w:fill="FFFFFF"/>
            <w:vAlign w:val="center"/>
          </w:tcPr>
          <w:p>
            <w:pPr>
              <w:widowControl/>
              <w:jc w:val="center"/>
              <w:rPr>
                <w:rFonts w:hint="eastAsia" w:ascii="仿宋_GB2312" w:hAnsi="仿宋_GB2312" w:eastAsia="仿宋_GB2312" w:cs="仿宋_GB2312"/>
                <w:b w:val="0"/>
                <w:bCs w:val="0"/>
                <w:kern w:val="0"/>
                <w:sz w:val="28"/>
                <w:szCs w:val="28"/>
              </w:rPr>
            </w:pPr>
          </w:p>
        </w:tc>
        <w:tc>
          <w:tcPr>
            <w:tcW w:w="816" w:type="dxa"/>
            <w:tcBorders>
              <w:top w:val="nil"/>
              <w:left w:val="nil"/>
              <w:bottom w:val="single" w:color="auto" w:sz="4" w:space="0"/>
              <w:right w:val="single" w:color="auto" w:sz="4" w:space="0"/>
            </w:tcBorders>
            <w:shd w:val="clear" w:color="auto" w:fill="FFFFFF"/>
            <w:vAlign w:val="center"/>
          </w:tcPr>
          <w:p>
            <w:pPr>
              <w:widowControl/>
              <w:jc w:val="center"/>
              <w:rPr>
                <w:rFonts w:hint="eastAsia" w:ascii="仿宋_GB2312" w:hAnsi="仿宋_GB2312" w:eastAsia="仿宋_GB2312" w:cs="仿宋_GB2312"/>
                <w:b w:val="0"/>
                <w:bCs w:val="0"/>
                <w:kern w:val="0"/>
                <w:sz w:val="28"/>
                <w:szCs w:val="28"/>
              </w:rPr>
            </w:pPr>
          </w:p>
        </w:tc>
      </w:tr>
    </w:tbl>
    <w:p>
      <w:pPr>
        <w:rPr>
          <w:rFonts w:hint="eastAsia" w:ascii="仿宋_GB2312" w:hAnsi="仿宋_GB2312" w:eastAsia="仿宋_GB2312" w:cs="仿宋_GB2312"/>
          <w:bCs/>
          <w:sz w:val="28"/>
          <w:szCs w:val="28"/>
        </w:rPr>
      </w:pPr>
    </w:p>
    <w:p>
      <w:pPr>
        <w:rPr>
          <w:rFonts w:hint="eastAsia" w:ascii="仿宋_GB2312" w:hAnsi="仿宋_GB2312" w:eastAsia="仿宋_GB2312" w:cs="仿宋_GB2312"/>
          <w:sz w:val="28"/>
          <w:szCs w:val="28"/>
        </w:rPr>
      </w:pPr>
      <w:r>
        <w:rPr>
          <w:rFonts w:hint="eastAsia" w:ascii="仿宋_GB2312" w:hAnsi="仿宋_GB2312" w:eastAsia="仿宋_GB2312" w:cs="仿宋_GB2312"/>
          <w:bCs/>
          <w:sz w:val="28"/>
          <w:szCs w:val="28"/>
        </w:rPr>
        <w:t>注：</w:t>
      </w:r>
      <w:r>
        <w:rPr>
          <w:rFonts w:hint="eastAsia" w:ascii="仿宋_GB2312" w:hAnsi="仿宋_GB2312" w:eastAsia="仿宋_GB2312" w:cs="仿宋_GB2312"/>
          <w:bCs/>
          <w:sz w:val="28"/>
          <w:szCs w:val="28"/>
          <w:lang w:val="en-US" w:eastAsia="zh-CN"/>
        </w:rPr>
        <w:t>1、</w:t>
      </w:r>
      <w:r>
        <w:rPr>
          <w:rFonts w:hint="eastAsia" w:ascii="仿宋_GB2312" w:hAnsi="仿宋_GB2312" w:eastAsia="仿宋_GB2312" w:cs="仿宋_GB2312"/>
          <w:sz w:val="28"/>
          <w:szCs w:val="28"/>
        </w:rPr>
        <w:t>供应商须按要求填写所有信息，不得随意更改本表格式。</w:t>
      </w:r>
    </w:p>
    <w:p>
      <w:pPr>
        <w:numPr>
          <w:ilvl w:val="0"/>
          <w:numId w:val="0"/>
        </w:numPr>
        <w:adjustRightInd w:val="0"/>
        <w:snapToGrid w:val="0"/>
        <w:ind w:leftChars="0"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所有价格均应以人民币报价，金额单位为元。</w:t>
      </w:r>
    </w:p>
    <w:p>
      <w:pPr>
        <w:pStyle w:val="8"/>
        <w:rPr>
          <w:rFonts w:hint="eastAsia" w:ascii="仿宋_GB2312" w:hAnsi="仿宋_GB2312" w:eastAsia="仿宋_GB2312" w:cs="仿宋_GB2312"/>
          <w:sz w:val="28"/>
          <w:szCs w:val="28"/>
        </w:rPr>
      </w:pPr>
    </w:p>
    <w:p>
      <w:pPr>
        <w:pStyle w:val="8"/>
        <w:rPr>
          <w:rFonts w:hint="eastAsia" w:ascii="仿宋_GB2312" w:hAnsi="仿宋_GB2312" w:eastAsia="仿宋_GB2312" w:cs="仿宋_GB2312"/>
          <w:sz w:val="28"/>
          <w:szCs w:val="28"/>
        </w:rPr>
      </w:pPr>
    </w:p>
    <w:p>
      <w:pPr>
        <w:wordWrap w:val="0"/>
        <w:adjustRightInd w:val="0"/>
        <w:snapToGrid w:val="0"/>
        <w:jc w:val="right"/>
        <w:rPr>
          <w:rFonts w:hint="eastAsia" w:ascii="仿宋_GB2312" w:hAnsi="仿宋_GB2312" w:eastAsia="仿宋_GB2312" w:cs="仿宋_GB2312"/>
          <w:sz w:val="28"/>
          <w:szCs w:val="28"/>
          <w:u w:val="single"/>
          <w:lang w:val="en-US" w:eastAsia="zh-CN"/>
        </w:rPr>
      </w:pPr>
      <w:r>
        <w:rPr>
          <w:rFonts w:hint="eastAsia" w:ascii="仿宋_GB2312" w:hAnsi="仿宋_GB2312" w:eastAsia="仿宋_GB2312" w:cs="仿宋_GB2312"/>
          <w:sz w:val="28"/>
          <w:szCs w:val="28"/>
        </w:rPr>
        <w:t>供应商名称（加盖公章）：</w:t>
      </w:r>
      <w:r>
        <w:rPr>
          <w:rFonts w:hint="eastAsia" w:ascii="仿宋_GB2312" w:hAnsi="仿宋_GB2312" w:eastAsia="仿宋_GB2312" w:cs="仿宋_GB2312"/>
          <w:sz w:val="28"/>
          <w:szCs w:val="28"/>
          <w:lang w:val="en-US" w:eastAsia="zh-CN"/>
        </w:rPr>
        <w:t xml:space="preserve">               </w:t>
      </w:r>
    </w:p>
    <w:p>
      <w:pPr>
        <w:wordWrap w:val="0"/>
        <w:jc w:val="righ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rPr>
        <w:t>供应商法定代表人或其授权代表（签字或盖章）：</w:t>
      </w:r>
      <w:r>
        <w:rPr>
          <w:rFonts w:hint="eastAsia" w:ascii="仿宋_GB2312" w:hAnsi="仿宋_GB2312" w:eastAsia="仿宋_GB2312" w:cs="仿宋_GB2312"/>
          <w:sz w:val="28"/>
          <w:szCs w:val="28"/>
          <w:lang w:val="en-US" w:eastAsia="zh-CN"/>
        </w:rPr>
        <w:t xml:space="preserve">       </w:t>
      </w:r>
    </w:p>
    <w:p>
      <w:pPr>
        <w:keepNext w:val="0"/>
        <w:keepLines w:val="0"/>
        <w:pageBreakBefore w:val="0"/>
        <w:widowControl w:val="0"/>
        <w:kinsoku/>
        <w:wordWrap w:val="0"/>
        <w:overflowPunct/>
        <w:topLinePunct w:val="0"/>
        <w:autoSpaceDE/>
        <w:autoSpaceDN/>
        <w:bidi w:val="0"/>
        <w:adjustRightInd/>
        <w:snapToGrid/>
        <w:jc w:val="right"/>
        <w:textAlignment w:val="auto"/>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sz w:val="28"/>
          <w:szCs w:val="28"/>
        </w:rPr>
        <w:t xml:space="preserve">日期：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年   月   日</w:t>
      </w:r>
      <w:r>
        <w:rPr>
          <w:rFonts w:hint="eastAsia" w:ascii="仿宋_GB2312" w:hAnsi="仿宋_GB2312" w:eastAsia="仿宋_GB2312" w:cs="仿宋_GB2312"/>
          <w:sz w:val="28"/>
          <w:szCs w:val="28"/>
          <w:lang w:val="en-US" w:eastAsia="zh-CN"/>
        </w:rPr>
        <w:t xml:space="preserve">                </w:t>
      </w:r>
    </w:p>
    <w:p>
      <w:pPr>
        <w:pStyle w:val="8"/>
        <w:rPr>
          <w:rFonts w:hint="eastAsia" w:ascii="仿宋_GB2312" w:hAnsi="仿宋_GB2312" w:eastAsia="仿宋_GB2312" w:cs="仿宋_GB2312"/>
          <w:sz w:val="28"/>
          <w:szCs w:val="28"/>
        </w:rPr>
      </w:pPr>
    </w:p>
    <w:p>
      <w:pPr>
        <w:pStyle w:val="2"/>
        <w:numPr>
          <w:ilvl w:val="0"/>
          <w:numId w:val="0"/>
        </w:numPr>
        <w:ind w:leftChars="0"/>
        <w:rPr>
          <w:rFonts w:hint="eastAsia"/>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altName w:val="钟齐陈伟勋硬笔行楷简"/>
    <w:panose1 w:val="02010600030101010101"/>
    <w:charset w:val="00"/>
    <w:family w:val="auto"/>
    <w:pitch w:val="default"/>
    <w:sig w:usb0="00000000" w:usb1="00000000"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1" w:usb1="080E0000" w:usb2="00000000" w:usb3="00000000" w:csb0="00040000" w:csb1="00000000"/>
  </w:font>
  <w:font w:name="钟齐陈伟勋硬笔行楷简">
    <w:panose1 w:val="02010600030101010101"/>
    <w:charset w:val="86"/>
    <w:family w:val="auto"/>
    <w:pitch w:val="default"/>
    <w:sig w:usb0="00000003" w:usb1="080E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BA34E0"/>
    <w:multiLevelType w:val="multilevel"/>
    <w:tmpl w:val="BDBA34E0"/>
    <w:lvl w:ilvl="0" w:tentative="0">
      <w:start w:val="1"/>
      <w:numFmt w:val="decimal"/>
      <w:lvlText w:val="%1"/>
      <w:lvlJc w:val="left"/>
      <w:pPr>
        <w:tabs>
          <w:tab w:val="left" w:pos="432"/>
        </w:tabs>
        <w:ind w:left="432" w:hanging="432"/>
      </w:pPr>
      <w:rPr>
        <w:rFonts w:hint="eastAsia"/>
      </w:rPr>
    </w:lvl>
    <w:lvl w:ilvl="1" w:tentative="0">
      <w:start w:val="1"/>
      <w:numFmt w:val="decimal"/>
      <w:lvlText w:val="%1.%2"/>
      <w:lvlJc w:val="left"/>
      <w:pPr>
        <w:tabs>
          <w:tab w:val="left" w:pos="576"/>
        </w:tabs>
        <w:ind w:left="576" w:hanging="576"/>
      </w:pPr>
      <w:rPr>
        <w:rFonts w:hint="eastAsia"/>
      </w:rPr>
    </w:lvl>
    <w:lvl w:ilvl="2" w:tentative="0">
      <w:start w:val="1"/>
      <w:numFmt w:val="decimal"/>
      <w:pStyle w:val="2"/>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1">
    <w:nsid w:val="737ADF05"/>
    <w:multiLevelType w:val="singleLevel"/>
    <w:tmpl w:val="737ADF05"/>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BEF6EC"/>
    <w:rsid w:val="17EFE65C"/>
    <w:rsid w:val="3FBEF6EC"/>
    <w:rsid w:val="4CEF1511"/>
    <w:rsid w:val="56EF5DFA"/>
    <w:rsid w:val="74BC7779"/>
    <w:rsid w:val="7E9CFD21"/>
    <w:rsid w:val="BBB89943"/>
    <w:rsid w:val="DB3DF457"/>
    <w:rsid w:val="EEF532C0"/>
    <w:rsid w:val="FE7D63F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unhideWhenUsed/>
    <w:qFormat/>
    <w:uiPriority w:val="9"/>
    <w:pPr>
      <w:spacing w:before="320" w:after="120" w:line="288" w:lineRule="auto"/>
      <w:outlineLvl w:val="1"/>
    </w:pPr>
    <w:rPr>
      <w:rFonts w:ascii="Arial" w:hAnsi="Arial" w:eastAsia="等线" w:cs="Arial"/>
      <w:b/>
      <w:bCs/>
      <w:sz w:val="32"/>
      <w:szCs w:val="32"/>
      <w:lang w:val="en-US" w:eastAsia="zh-CN" w:bidi="ar-SA"/>
    </w:rPr>
  </w:style>
  <w:style w:type="paragraph" w:styleId="2">
    <w:name w:val="heading 3"/>
    <w:basedOn w:val="1"/>
    <w:next w:val="1"/>
    <w:unhideWhenUsed/>
    <w:qFormat/>
    <w:uiPriority w:val="0"/>
    <w:pPr>
      <w:keepNext/>
      <w:keepLines/>
      <w:numPr>
        <w:ilvl w:val="2"/>
        <w:numId w:val="1"/>
      </w:numPr>
      <w:spacing w:before="260" w:after="260" w:line="416" w:lineRule="auto"/>
      <w:outlineLvl w:val="2"/>
    </w:pPr>
    <w:rPr>
      <w:rFonts w:ascii="Calibri" w:hAnsi="Calibri" w:eastAsia="宋体"/>
      <w:b/>
      <w:sz w:val="24"/>
      <w:szCs w:val="20"/>
    </w:rPr>
  </w:style>
  <w:style w:type="paragraph" w:styleId="4">
    <w:name w:val="heading 4"/>
    <w:basedOn w:val="1"/>
    <w:next w:val="1"/>
    <w:unhideWhenUsed/>
    <w:qFormat/>
    <w:uiPriority w:val="0"/>
    <w:pPr>
      <w:spacing w:before="100" w:beforeAutospacing="1" w:after="100" w:afterAutospacing="1"/>
      <w:jc w:val="left"/>
      <w:outlineLvl w:val="3"/>
    </w:pPr>
    <w:rPr>
      <w:rFonts w:hint="eastAsia" w:ascii="宋体" w:hAnsi="宋体" w:eastAsia="宋体" w:cs="宋体"/>
      <w:b/>
      <w:bCs/>
      <w:kern w:val="0"/>
      <w:sz w:val="24"/>
      <w:szCs w:val="24"/>
      <w:lang w:val="en-US" w:eastAsia="zh-CN" w:bidi="ar"/>
    </w:rPr>
  </w:style>
  <w:style w:type="character" w:default="1" w:styleId="6">
    <w:name w:val="Default Paragraph Font"/>
    <w:semiHidden/>
    <w:qFormat/>
    <w:uiPriority w:val="0"/>
  </w:style>
  <w:style w:type="table" w:default="1" w:styleId="7">
    <w:name w:val="Normal Table"/>
    <w:semiHidden/>
    <w:qFormat/>
    <w:uiPriority w:val="0"/>
    <w:tblPr>
      <w:tblStyle w:val="7"/>
      <w:tblLayout w:type="fixed"/>
      <w:tblCellMar>
        <w:top w:w="0" w:type="dxa"/>
        <w:left w:w="108" w:type="dxa"/>
        <w:bottom w:w="0" w:type="dxa"/>
        <w:right w:w="108" w:type="dxa"/>
      </w:tblCellMar>
    </w:tblPr>
  </w:style>
  <w:style w:type="paragraph" w:styleId="5">
    <w:name w:val="annotation text"/>
    <w:basedOn w:val="1"/>
    <w:qFormat/>
    <w:uiPriority w:val="0"/>
    <w:pPr>
      <w:jc w:val="left"/>
    </w:pPr>
  </w:style>
  <w:style w:type="paragraph" w:customStyle="1" w:styleId="8">
    <w:name w:val="表格文字"/>
    <w:qFormat/>
    <w:uiPriority w:val="0"/>
    <w:pPr>
      <w:widowControl w:val="0"/>
      <w:spacing w:before="25" w:after="25"/>
    </w:pPr>
    <w:rPr>
      <w:rFonts w:ascii="Calibri" w:hAnsi="Calibri" w:eastAsia="宋体" w:cs="Times New Roman"/>
      <w:bCs/>
      <w:spacing w:val="1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9.33333333333333</TotalTime>
  <ScaleCrop>false</ScaleCrop>
  <LinksUpToDate>false</LinksUpToDate>
  <CharactersWithSpaces>0</CharactersWithSpaces>
  <Application>WPS Office_10.8.0.6423_F1E327BC-269C-435d-A152-05C5408002CA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2026-03-05T01:22:00Z</dcterms:created>
  <dc:creator>kylin</dc:creator>
  <cp:lastModifiedBy>cxg</cp:lastModifiedBy>
  <dcterms:modified xsi:type="dcterms:W3CDTF">2026-03-09T06:53:07Z</dcterms:modified>
  <dc:title>广东省档案馆消防系统升级改造项目</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2052-10.8.0.6423</vt:lpwstr>
  </property>
  <property fmtid="{D5CDD505-2E9C-101B-9397-08002B2CF9AE}" pid="3" name="ICV">
    <vt:lpwstr>C8C9613CBCCA92BFDBF9A769F01AE7E9</vt:lpwstr>
  </property>
</Properties>
</file>